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7256B2">
        <w:rPr>
          <w:b/>
          <w:caps/>
          <w:sz w:val="24"/>
          <w:szCs w:val="24"/>
        </w:rPr>
        <w:t>7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5A0AE0">
        <w:rPr>
          <w:b/>
          <w:caps/>
          <w:sz w:val="24"/>
          <w:szCs w:val="24"/>
        </w:rPr>
        <w:t>10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 w:rsidR="007256B2">
        <w:rPr>
          <w:b/>
          <w:sz w:val="24"/>
          <w:szCs w:val="24"/>
        </w:rPr>
        <w:t>18 апреля</w:t>
      </w:r>
      <w:r w:rsidR="002D6859"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D264D5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С.В.Г.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7256B2">
        <w:rPr>
          <w:sz w:val="24"/>
          <w:szCs w:val="24"/>
        </w:rPr>
        <w:t>Галоганов</w:t>
      </w:r>
      <w:proofErr w:type="spellEnd"/>
      <w:r w:rsidRPr="007256B2">
        <w:rPr>
          <w:sz w:val="24"/>
          <w:szCs w:val="24"/>
        </w:rPr>
        <w:t xml:space="preserve">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</w:t>
      </w:r>
      <w:proofErr w:type="spellStart"/>
      <w:r w:rsidRPr="007256B2">
        <w:rPr>
          <w:sz w:val="24"/>
          <w:szCs w:val="24"/>
        </w:rPr>
        <w:t>Толчеев</w:t>
      </w:r>
      <w:proofErr w:type="spellEnd"/>
      <w:r w:rsidRPr="007256B2">
        <w:rPr>
          <w:sz w:val="24"/>
          <w:szCs w:val="24"/>
        </w:rPr>
        <w:t xml:space="preserve"> М.Н., Царьков П.В., Цветкова А.И., </w:t>
      </w:r>
      <w:proofErr w:type="spellStart"/>
      <w:r w:rsidRPr="007256B2">
        <w:rPr>
          <w:sz w:val="24"/>
          <w:szCs w:val="24"/>
        </w:rPr>
        <w:t>Шамшурин</w:t>
      </w:r>
      <w:proofErr w:type="spellEnd"/>
      <w:r w:rsidRPr="007256B2">
        <w:rPr>
          <w:sz w:val="24"/>
          <w:szCs w:val="24"/>
        </w:rPr>
        <w:t xml:space="preserve">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87560F" w:rsidRDefault="007256B2" w:rsidP="007256B2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5A0AE0">
        <w:rPr>
          <w:sz w:val="24"/>
          <w:szCs w:val="24"/>
        </w:rPr>
        <w:t>С</w:t>
      </w:r>
      <w:r w:rsidR="00D264D5">
        <w:rPr>
          <w:sz w:val="24"/>
          <w:szCs w:val="24"/>
        </w:rPr>
        <w:t>.</w:t>
      </w:r>
      <w:r w:rsidR="005A0AE0">
        <w:rPr>
          <w:sz w:val="24"/>
          <w:szCs w:val="24"/>
        </w:rPr>
        <w:t>В.Г</w:t>
      </w:r>
      <w:r>
        <w:rPr>
          <w:sz w:val="24"/>
          <w:szCs w:val="24"/>
        </w:rPr>
        <w:t>.</w:t>
      </w:r>
      <w:r w:rsidR="0087560F"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Default="005A0AE0" w:rsidP="0084475D">
      <w:pPr>
        <w:ind w:firstLine="708"/>
        <w:jc w:val="both"/>
        <w:rPr>
          <w:sz w:val="24"/>
          <w:szCs w:val="24"/>
        </w:rPr>
      </w:pPr>
      <w:r w:rsidRPr="005A0AE0">
        <w:rPr>
          <w:sz w:val="24"/>
          <w:szCs w:val="24"/>
        </w:rPr>
        <w:t xml:space="preserve">В Адвокатскую палату Московской области 13.02.18 г. поступила жалоба доверителя </w:t>
      </w:r>
      <w:r w:rsidR="00D264D5">
        <w:rPr>
          <w:sz w:val="24"/>
          <w:szCs w:val="24"/>
        </w:rPr>
        <w:t>К.В.Ю.</w:t>
      </w:r>
      <w:r w:rsidRPr="005A0AE0">
        <w:rPr>
          <w:sz w:val="24"/>
          <w:szCs w:val="24"/>
        </w:rPr>
        <w:t xml:space="preserve"> в отношении адвоката </w:t>
      </w:r>
      <w:r w:rsidR="00D264D5">
        <w:rPr>
          <w:sz w:val="24"/>
          <w:szCs w:val="24"/>
        </w:rPr>
        <w:t>С.В.Г.</w:t>
      </w:r>
      <w:r w:rsidRPr="005A0AE0">
        <w:rPr>
          <w:sz w:val="24"/>
          <w:szCs w:val="24"/>
        </w:rPr>
        <w:t xml:space="preserve">, имеющего регистрационный номер </w:t>
      </w:r>
      <w:r w:rsidR="00D264D5">
        <w:rPr>
          <w:sz w:val="24"/>
          <w:szCs w:val="24"/>
        </w:rPr>
        <w:t>…..</w:t>
      </w:r>
      <w:r w:rsidRPr="005A0A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64D5">
        <w:rPr>
          <w:sz w:val="24"/>
          <w:szCs w:val="24"/>
        </w:rPr>
        <w:t>…..</w:t>
      </w:r>
    </w:p>
    <w:p w:rsidR="0084475D" w:rsidRPr="002A5EF4" w:rsidRDefault="007256B2" w:rsidP="008447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26.02.2018</w:t>
      </w:r>
      <w:r w:rsidR="00AE74B4" w:rsidRPr="002A5EF4">
        <w:rPr>
          <w:sz w:val="24"/>
          <w:szCs w:val="24"/>
        </w:rPr>
        <w:t xml:space="preserve"> г. </w:t>
      </w:r>
      <w:r w:rsidR="00171D5C" w:rsidRPr="002A5EF4">
        <w:rPr>
          <w:sz w:val="24"/>
          <w:szCs w:val="24"/>
        </w:rPr>
        <w:t xml:space="preserve">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5A0AE0" w:rsidRDefault="0097047B" w:rsidP="002A5EF4">
      <w:pPr>
        <w:ind w:firstLine="708"/>
        <w:jc w:val="both"/>
        <w:rPr>
          <w:color w:val="000000"/>
          <w:sz w:val="24"/>
          <w:szCs w:val="24"/>
        </w:rPr>
      </w:pPr>
      <w:r w:rsidRPr="0087560F">
        <w:rPr>
          <w:sz w:val="24"/>
          <w:szCs w:val="24"/>
        </w:rPr>
        <w:t xml:space="preserve">Квалификационная комиссия </w:t>
      </w:r>
      <w:r w:rsidR="0087560F" w:rsidRPr="0087560F">
        <w:rPr>
          <w:sz w:val="24"/>
          <w:szCs w:val="24"/>
        </w:rPr>
        <w:t>2</w:t>
      </w:r>
      <w:r w:rsidR="007256B2">
        <w:rPr>
          <w:sz w:val="24"/>
          <w:szCs w:val="24"/>
        </w:rPr>
        <w:t>7</w:t>
      </w:r>
      <w:r w:rsidR="0087560F" w:rsidRPr="0087560F">
        <w:rPr>
          <w:sz w:val="24"/>
          <w:szCs w:val="24"/>
        </w:rPr>
        <w:t>.0</w:t>
      </w:r>
      <w:r w:rsidR="007256B2">
        <w:rPr>
          <w:sz w:val="24"/>
          <w:szCs w:val="24"/>
        </w:rPr>
        <w:t>3</w:t>
      </w:r>
      <w:r w:rsidR="00171D5C" w:rsidRPr="0087560F">
        <w:rPr>
          <w:sz w:val="24"/>
          <w:szCs w:val="24"/>
        </w:rPr>
        <w:t>.201</w:t>
      </w:r>
      <w:r w:rsidR="0087560F" w:rsidRPr="0087560F">
        <w:rPr>
          <w:sz w:val="24"/>
          <w:szCs w:val="24"/>
        </w:rPr>
        <w:t>8</w:t>
      </w:r>
      <w:r w:rsidR="00171D5C" w:rsidRPr="0087560F">
        <w:rPr>
          <w:sz w:val="24"/>
          <w:szCs w:val="24"/>
        </w:rPr>
        <w:t xml:space="preserve"> г. дала </w:t>
      </w:r>
      <w:r w:rsidR="00171D5C" w:rsidRPr="00A32873">
        <w:rPr>
          <w:sz w:val="24"/>
          <w:szCs w:val="24"/>
        </w:rPr>
        <w:t xml:space="preserve">заключение </w:t>
      </w:r>
      <w:r w:rsidR="005A0AE0">
        <w:rPr>
          <w:color w:val="000000"/>
          <w:sz w:val="24"/>
          <w:szCs w:val="24"/>
        </w:rPr>
        <w:t xml:space="preserve">о наличии в действиях (бездействии) адвоката </w:t>
      </w:r>
      <w:r w:rsidR="00D264D5">
        <w:rPr>
          <w:color w:val="000000"/>
          <w:sz w:val="24"/>
          <w:szCs w:val="24"/>
        </w:rPr>
        <w:t>С.В.Г.</w:t>
      </w:r>
      <w:r w:rsidR="005A0AE0">
        <w:rPr>
          <w:color w:val="000000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0" w:name="_GoBack"/>
      <w:bookmarkEnd w:id="0"/>
      <w:proofErr w:type="spellStart"/>
      <w:r w:rsidR="005A0AE0">
        <w:rPr>
          <w:color w:val="000000"/>
          <w:sz w:val="24"/>
          <w:szCs w:val="24"/>
        </w:rPr>
        <w:t>пп</w:t>
      </w:r>
      <w:proofErr w:type="spellEnd"/>
      <w:r w:rsidR="005A0AE0">
        <w:rPr>
          <w:color w:val="000000"/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="005A0AE0">
        <w:rPr>
          <w:color w:val="000000"/>
          <w:sz w:val="24"/>
          <w:szCs w:val="24"/>
        </w:rPr>
        <w:t>пп</w:t>
      </w:r>
      <w:proofErr w:type="spellEnd"/>
      <w:r w:rsidR="005A0AE0">
        <w:rPr>
          <w:color w:val="000000"/>
          <w:sz w:val="24"/>
          <w:szCs w:val="24"/>
        </w:rPr>
        <w:t>. 1 п. 1 ст. 9, п. 1 ст. 11 Кодекса профессиональной этики адвоката, и ненадлежащем исполнении своих обязанностей перед доверителем К</w:t>
      </w:r>
      <w:r w:rsidR="00D264D5">
        <w:rPr>
          <w:color w:val="000000"/>
          <w:sz w:val="24"/>
          <w:szCs w:val="24"/>
        </w:rPr>
        <w:t>.</w:t>
      </w:r>
      <w:r w:rsidR="005A0AE0">
        <w:rPr>
          <w:color w:val="000000"/>
          <w:sz w:val="24"/>
          <w:szCs w:val="24"/>
        </w:rPr>
        <w:t>В.Ю., выразившихся в том, что адвокат первоначально оказывал юридическую помощь заявителю, а затем лицам, интересы которых прямо противоречили интересам заявителя.</w:t>
      </w:r>
    </w:p>
    <w:p w:rsidR="002A5EF4" w:rsidRPr="002A5EF4" w:rsidRDefault="005A0AE0" w:rsidP="002A5EF4">
      <w:pPr>
        <w:ind w:firstLine="708"/>
        <w:jc w:val="both"/>
        <w:rPr>
          <w:sz w:val="24"/>
          <w:szCs w:val="24"/>
        </w:rPr>
      </w:pPr>
      <w:r w:rsidRPr="005A0AE0">
        <w:rPr>
          <w:sz w:val="24"/>
          <w:szCs w:val="24"/>
        </w:rPr>
        <w:t>В адрес Совета от адвоката представлены объяснения и приложения, не рассмотренные в заседании Квалификационной комиссии.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</w:t>
      </w:r>
      <w:r w:rsidRPr="002A5EF4">
        <w:rPr>
          <w:rFonts w:eastAsia="Calibri"/>
          <w:sz w:val="24"/>
          <w:szCs w:val="24"/>
          <w:lang w:eastAsia="en-US"/>
        </w:rPr>
        <w:t xml:space="preserve">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Pr="002A5EF4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5A0AE0">
        <w:rPr>
          <w:sz w:val="24"/>
          <w:szCs w:val="24"/>
          <w:lang w:val="ru-RU"/>
        </w:rPr>
        <w:t xml:space="preserve">адвоката </w:t>
      </w:r>
      <w:r w:rsidR="00D264D5">
        <w:rPr>
          <w:sz w:val="24"/>
          <w:szCs w:val="24"/>
          <w:lang w:val="ru-RU"/>
        </w:rPr>
        <w:t>С.В.Г.</w:t>
      </w:r>
      <w:r w:rsidR="005A0AE0" w:rsidRPr="005A0AE0">
        <w:rPr>
          <w:sz w:val="24"/>
          <w:szCs w:val="24"/>
        </w:rPr>
        <w:t xml:space="preserve">, имеющего регистрационный номер </w:t>
      </w:r>
      <w:r w:rsidR="00D264D5">
        <w:rPr>
          <w:sz w:val="24"/>
          <w:szCs w:val="24"/>
          <w:lang w:val="ru-RU"/>
        </w:rPr>
        <w:t>…..</w:t>
      </w:r>
      <w:r w:rsidR="005A0AE0">
        <w:rPr>
          <w:sz w:val="24"/>
          <w:szCs w:val="24"/>
          <w:lang w:val="ru-RU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7904D6" w:rsidP="00FA3CB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6B1E"/>
    <w:rsid w:val="00506B26"/>
    <w:rsid w:val="00513D2F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0AE0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93FBC"/>
    <w:rsid w:val="006A4EA5"/>
    <w:rsid w:val="006A5E33"/>
    <w:rsid w:val="006A7D05"/>
    <w:rsid w:val="006B5F11"/>
    <w:rsid w:val="006C4776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56B2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04D6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2873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264D5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14</cp:revision>
  <cp:lastPrinted>2018-04-27T07:42:00Z</cp:lastPrinted>
  <dcterms:created xsi:type="dcterms:W3CDTF">2017-11-22T14:32:00Z</dcterms:created>
  <dcterms:modified xsi:type="dcterms:W3CDTF">2022-04-09T18:50:00Z</dcterms:modified>
</cp:coreProperties>
</file>