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E670C2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C207CB">
        <w:rPr>
          <w:b/>
          <w:caps/>
          <w:sz w:val="24"/>
          <w:szCs w:val="24"/>
        </w:rPr>
        <w:t>1</w:t>
      </w:r>
      <w:r w:rsidR="009609F0">
        <w:rPr>
          <w:b/>
          <w:caps/>
          <w:sz w:val="24"/>
          <w:szCs w:val="24"/>
        </w:rPr>
        <w:t>9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0622E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З.А.П.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657772">
        <w:rPr>
          <w:sz w:val="24"/>
          <w:szCs w:val="24"/>
        </w:rPr>
        <w:t xml:space="preserve"> </w:t>
      </w:r>
      <w:r w:rsidR="00C83EA6">
        <w:rPr>
          <w:sz w:val="24"/>
          <w:szCs w:val="24"/>
        </w:rPr>
        <w:t>при участии адвоката З</w:t>
      </w:r>
      <w:r w:rsidR="000622ED">
        <w:rPr>
          <w:sz w:val="24"/>
          <w:szCs w:val="24"/>
        </w:rPr>
        <w:t>.</w:t>
      </w:r>
      <w:r w:rsidR="00C83EA6">
        <w:rPr>
          <w:sz w:val="24"/>
          <w:szCs w:val="24"/>
        </w:rPr>
        <w:t>А.П. и заявителя Г</w:t>
      </w:r>
      <w:r w:rsidR="000622ED">
        <w:rPr>
          <w:sz w:val="24"/>
          <w:szCs w:val="24"/>
        </w:rPr>
        <w:t>.</w:t>
      </w:r>
      <w:r w:rsidR="00C83EA6">
        <w:rPr>
          <w:sz w:val="24"/>
          <w:szCs w:val="24"/>
        </w:rPr>
        <w:t xml:space="preserve">А.А.,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C83EA6">
        <w:rPr>
          <w:sz w:val="24"/>
          <w:szCs w:val="24"/>
        </w:rPr>
        <w:t>З</w:t>
      </w:r>
      <w:r w:rsidR="000622ED">
        <w:rPr>
          <w:sz w:val="24"/>
          <w:szCs w:val="24"/>
        </w:rPr>
        <w:t>.</w:t>
      </w:r>
      <w:r w:rsidR="00C83EA6">
        <w:rPr>
          <w:sz w:val="24"/>
          <w:szCs w:val="24"/>
        </w:rPr>
        <w:t>А.П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C83EA6">
        <w:rPr>
          <w:sz w:val="24"/>
          <w:szCs w:val="24"/>
        </w:rPr>
        <w:t>28.03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0622ED">
        <w:rPr>
          <w:sz w:val="24"/>
          <w:szCs w:val="24"/>
        </w:rPr>
        <w:t>Г.А.А.</w:t>
      </w:r>
      <w:r w:rsidRPr="00964E4A">
        <w:rPr>
          <w:sz w:val="24"/>
          <w:szCs w:val="24"/>
        </w:rPr>
        <w:t xml:space="preserve"> в отношении адвоката </w:t>
      </w:r>
      <w:r w:rsidR="000622ED">
        <w:rPr>
          <w:sz w:val="24"/>
          <w:szCs w:val="24"/>
        </w:rPr>
        <w:t>З.А.П.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0622ED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622ED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3DD0" w:rsidRPr="00293DD0">
        <w:rPr>
          <w:sz w:val="24"/>
          <w:szCs w:val="24"/>
        </w:rPr>
        <w:t xml:space="preserve">По утверждению заявителя, </w:t>
      </w:r>
      <w:r w:rsidR="00C83EA6" w:rsidRPr="00C83EA6">
        <w:rPr>
          <w:sz w:val="24"/>
          <w:szCs w:val="24"/>
        </w:rPr>
        <w:t>адвокат ненадлежащим образом исполнял свои профессиональные обязанности, а именно: не подал иск об изменении идеальных долей в праве собственности на дом и земельный участок, в результате чего мировым судьей было вынесено решение не в пользу истца</w:t>
      </w:r>
      <w:r w:rsidR="00894D21">
        <w:rPr>
          <w:sz w:val="24"/>
          <w:szCs w:val="24"/>
        </w:rPr>
        <w:t>.</w:t>
      </w:r>
    </w:p>
    <w:p w:rsidR="006D07BC" w:rsidRDefault="00E670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E670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</w:t>
      </w:r>
      <w:r w:rsidR="00293DD0">
        <w:rPr>
          <w:sz w:val="24"/>
          <w:szCs w:val="24"/>
        </w:rPr>
        <w:t>131</w:t>
      </w:r>
      <w:r w:rsidR="00C83EA6">
        <w:rPr>
          <w:sz w:val="24"/>
          <w:szCs w:val="24"/>
        </w:rPr>
        <w:t>5</w:t>
      </w:r>
      <w:r>
        <w:rPr>
          <w:sz w:val="24"/>
          <w:szCs w:val="24"/>
        </w:rPr>
        <w:t xml:space="preserve"> с просьбой о даче объяснений по доводам поступившей жалобы.</w:t>
      </w:r>
    </w:p>
    <w:p w:rsidR="00C83EA6" w:rsidRPr="00FC108F" w:rsidRDefault="00C83EA6" w:rsidP="00C83EA6">
      <w:pPr>
        <w:pStyle w:val="af5"/>
        <w:ind w:firstLine="567"/>
        <w:jc w:val="both"/>
        <w:rPr>
          <w:szCs w:val="24"/>
        </w:rPr>
      </w:pPr>
      <w:r>
        <w:rPr>
          <w:szCs w:val="24"/>
        </w:rPr>
        <w:t>18.04</w:t>
      </w:r>
      <w:r w:rsidR="00E670C2">
        <w:rPr>
          <w:szCs w:val="24"/>
        </w:rPr>
        <w:t xml:space="preserve">.2019 г. адвокатом в АПМО были представлены письменные объяснения с приложением документов, в которых он не согласился </w:t>
      </w:r>
      <w:r w:rsidR="00E670C2">
        <w:t xml:space="preserve">с доводами жалобы и пояснил, что </w:t>
      </w:r>
      <w:r w:rsidRPr="004F6F13">
        <w:rPr>
          <w:szCs w:val="24"/>
        </w:rPr>
        <w:t xml:space="preserve"> в ходе исполнения поручения в соответствии с заключенным соглашением адвокаты З</w:t>
      </w:r>
      <w:r w:rsidR="000622ED">
        <w:rPr>
          <w:szCs w:val="24"/>
        </w:rPr>
        <w:t>.</w:t>
      </w:r>
      <w:r w:rsidRPr="004F6F13">
        <w:rPr>
          <w:szCs w:val="24"/>
        </w:rPr>
        <w:t>А.П. и Г</w:t>
      </w:r>
      <w:r w:rsidR="000622ED">
        <w:rPr>
          <w:szCs w:val="24"/>
        </w:rPr>
        <w:t>.</w:t>
      </w:r>
      <w:r w:rsidRPr="004F6F13">
        <w:rPr>
          <w:szCs w:val="24"/>
        </w:rPr>
        <w:t xml:space="preserve">Е.А. </w:t>
      </w:r>
      <w:r w:rsidRPr="00E77E3A">
        <w:rPr>
          <w:szCs w:val="24"/>
        </w:rPr>
        <w:t>ознакомились с представленными доверителем документам</w:t>
      </w:r>
      <w:r>
        <w:rPr>
          <w:szCs w:val="24"/>
        </w:rPr>
        <w:t>и в отношении спорного земельного участка</w:t>
      </w:r>
      <w:r w:rsidRPr="004F6F13">
        <w:rPr>
          <w:szCs w:val="24"/>
        </w:rPr>
        <w:t xml:space="preserve">. </w:t>
      </w:r>
      <w:r w:rsidRPr="00E77E3A">
        <w:rPr>
          <w:szCs w:val="24"/>
        </w:rPr>
        <w:t>После ознакомления с документами и согласованием позиции защиты интересов доверителя,</w:t>
      </w:r>
      <w:r w:rsidRPr="004F6F13">
        <w:rPr>
          <w:szCs w:val="24"/>
        </w:rPr>
        <w:t xml:space="preserve"> адвок</w:t>
      </w:r>
      <w:r>
        <w:rPr>
          <w:szCs w:val="24"/>
        </w:rPr>
        <w:t>аты подготовили исковое заявление и подали его м</w:t>
      </w:r>
      <w:r w:rsidRPr="004F6F13">
        <w:rPr>
          <w:szCs w:val="24"/>
        </w:rPr>
        <w:t xml:space="preserve">ировому судье судебного участка № </w:t>
      </w:r>
      <w:r w:rsidR="000622ED">
        <w:rPr>
          <w:szCs w:val="24"/>
        </w:rPr>
        <w:t>…..</w:t>
      </w:r>
      <w:r w:rsidRPr="004F6F13">
        <w:rPr>
          <w:szCs w:val="24"/>
        </w:rPr>
        <w:t xml:space="preserve"> С</w:t>
      </w:r>
      <w:r w:rsidR="000622ED">
        <w:rPr>
          <w:szCs w:val="24"/>
        </w:rPr>
        <w:t>.</w:t>
      </w:r>
      <w:r w:rsidRPr="004F6F13">
        <w:rPr>
          <w:szCs w:val="24"/>
        </w:rPr>
        <w:t xml:space="preserve"> судебного района. </w:t>
      </w:r>
      <w:r w:rsidRPr="00FC108F">
        <w:rPr>
          <w:szCs w:val="24"/>
        </w:rPr>
        <w:t>Предметом со</w:t>
      </w:r>
      <w:r>
        <w:rPr>
          <w:szCs w:val="24"/>
        </w:rPr>
        <w:t xml:space="preserve">глашения было именно </w:t>
      </w:r>
      <w:r w:rsidRPr="009D47D9">
        <w:rPr>
          <w:i/>
          <w:szCs w:val="24"/>
        </w:rPr>
        <w:t>определение порядка пользования земельным участком</w:t>
      </w:r>
      <w:r w:rsidRPr="00FC108F">
        <w:rPr>
          <w:szCs w:val="24"/>
        </w:rPr>
        <w:t>.</w:t>
      </w:r>
    </w:p>
    <w:p w:rsidR="00C83EA6" w:rsidRPr="004F6F13" w:rsidRDefault="00C83EA6" w:rsidP="00C83EA6">
      <w:pPr>
        <w:pStyle w:val="af5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Pr="004F6F13">
        <w:rPr>
          <w:szCs w:val="24"/>
        </w:rPr>
        <w:t>В ходе рассмотрения гражданского дела по заявленному иску адвокаты принимали участие в 8 судебных заседаниях, на которых, в том числе</w:t>
      </w:r>
      <w:r w:rsidRPr="00E77E3A">
        <w:rPr>
          <w:szCs w:val="24"/>
        </w:rPr>
        <w:t>, присутствовала сама доверитель</w:t>
      </w:r>
      <w:r w:rsidRPr="004F6F13">
        <w:rPr>
          <w:szCs w:val="24"/>
        </w:rPr>
        <w:t>. Ответчиками по гражданскому делу был заявлен встречный иск об определении порядка п</w:t>
      </w:r>
      <w:r>
        <w:rPr>
          <w:szCs w:val="24"/>
        </w:rPr>
        <w:t>ользования земельным участком</w:t>
      </w:r>
      <w:r w:rsidRPr="004F6F13">
        <w:rPr>
          <w:szCs w:val="24"/>
        </w:rPr>
        <w:t>. В судебном заседании адвокат возражал против удовлетворения встречных требований ответчиков. Доверитель, присутствовавшая в судебном заседании, поддержала озвученную адвокатом позицию и также возражала против удовлетворения встречных исковых требований.</w:t>
      </w:r>
    </w:p>
    <w:p w:rsidR="00E670C2" w:rsidRPr="00E670C2" w:rsidRDefault="00C83EA6" w:rsidP="00C83EA6">
      <w:pPr>
        <w:pStyle w:val="af3"/>
        <w:ind w:firstLine="708"/>
        <w:jc w:val="both"/>
      </w:pPr>
      <w:r>
        <w:rPr>
          <w:szCs w:val="24"/>
        </w:rPr>
        <w:t xml:space="preserve"> Однако м</w:t>
      </w:r>
      <w:r w:rsidRPr="004F6F13">
        <w:rPr>
          <w:szCs w:val="24"/>
        </w:rPr>
        <w:t xml:space="preserve">ировой судья с/у </w:t>
      </w:r>
      <w:r w:rsidR="000622ED">
        <w:rPr>
          <w:szCs w:val="24"/>
        </w:rPr>
        <w:t>…..</w:t>
      </w:r>
      <w:r w:rsidRPr="004F6F13">
        <w:rPr>
          <w:szCs w:val="24"/>
        </w:rPr>
        <w:t xml:space="preserve"> вынес решение, которым</w:t>
      </w:r>
      <w:r>
        <w:rPr>
          <w:szCs w:val="24"/>
        </w:rPr>
        <w:t xml:space="preserve"> частично</w:t>
      </w:r>
      <w:r w:rsidRPr="004F6F13">
        <w:rPr>
          <w:szCs w:val="24"/>
        </w:rPr>
        <w:t xml:space="preserve"> удовлетворил исковые требования по варианту, который не устроил доверителя. Доверителю было предложено обратиться в С</w:t>
      </w:r>
      <w:r w:rsidR="000622ED">
        <w:rPr>
          <w:szCs w:val="24"/>
        </w:rPr>
        <w:t>.</w:t>
      </w:r>
      <w:r w:rsidRPr="004F6F13">
        <w:rPr>
          <w:szCs w:val="24"/>
        </w:rPr>
        <w:t xml:space="preserve"> городской суд М</w:t>
      </w:r>
      <w:r w:rsidR="000622ED">
        <w:rPr>
          <w:szCs w:val="24"/>
        </w:rPr>
        <w:t>.</w:t>
      </w:r>
      <w:r w:rsidRPr="004F6F13">
        <w:rPr>
          <w:szCs w:val="24"/>
        </w:rPr>
        <w:t xml:space="preserve"> области с апелляционной жалобой. Адвокатами была подана краткая апелляционная жалоба, в целях приостановления процессуальных сроков для обжалования решения суда. Однако доверитель отказалась от такого обжалования, отозвав доверенность на судебное пред</w:t>
      </w:r>
      <w:r>
        <w:rPr>
          <w:szCs w:val="24"/>
        </w:rPr>
        <w:t xml:space="preserve">ставительство и истребовав все </w:t>
      </w:r>
      <w:r w:rsidRPr="004F6F13">
        <w:rPr>
          <w:szCs w:val="24"/>
        </w:rPr>
        <w:t>имеющиеся у адвокатов</w:t>
      </w:r>
      <w:r>
        <w:rPr>
          <w:szCs w:val="24"/>
        </w:rPr>
        <w:t xml:space="preserve"> документы</w:t>
      </w:r>
      <w:r w:rsidR="00E670C2"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lastRenderedPageBreak/>
        <w:t xml:space="preserve">Квалификационная комиссия </w:t>
      </w:r>
      <w:r w:rsidR="00E670C2">
        <w:rPr>
          <w:sz w:val="24"/>
          <w:szCs w:val="24"/>
        </w:rPr>
        <w:t>23.04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622ED">
        <w:rPr>
          <w:sz w:val="24"/>
          <w:szCs w:val="24"/>
        </w:rPr>
        <w:t>З.А.П.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C83EA6">
        <w:rPr>
          <w:sz w:val="24"/>
          <w:szCs w:val="24"/>
        </w:rPr>
        <w:t>Г</w:t>
      </w:r>
      <w:r w:rsidR="000622ED">
        <w:rPr>
          <w:sz w:val="24"/>
          <w:szCs w:val="24"/>
        </w:rPr>
        <w:t>.</w:t>
      </w:r>
      <w:r w:rsidR="00C83EA6">
        <w:rPr>
          <w:sz w:val="24"/>
          <w:szCs w:val="24"/>
        </w:rPr>
        <w:t>А.А</w:t>
      </w:r>
      <w:r w:rsidR="00964E4A" w:rsidRPr="00964E4A">
        <w:rPr>
          <w:sz w:val="24"/>
          <w:szCs w:val="24"/>
        </w:rPr>
        <w:t>.</w:t>
      </w:r>
    </w:p>
    <w:p w:rsidR="00C83EA6" w:rsidRDefault="000031FD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 w:rsidR="000124C9">
        <w:rPr>
          <w:sz w:val="24"/>
          <w:szCs w:val="24"/>
        </w:rPr>
        <w:t>и его поддержка</w:t>
      </w:r>
      <w:r w:rsidR="00025D79">
        <w:rPr>
          <w:sz w:val="24"/>
          <w:szCs w:val="24"/>
        </w:rPr>
        <w:t>.</w:t>
      </w:r>
    </w:p>
    <w:p w:rsidR="000031FD" w:rsidRDefault="00C83EA6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15.05.2019 г. в АПМО поступило письменное несогласие Г</w:t>
      </w:r>
      <w:r w:rsidR="000622ED">
        <w:rPr>
          <w:sz w:val="24"/>
          <w:szCs w:val="24"/>
        </w:rPr>
        <w:t>.</w:t>
      </w:r>
      <w:r>
        <w:rPr>
          <w:sz w:val="24"/>
          <w:szCs w:val="24"/>
        </w:rPr>
        <w:t>А.А. с заключением квалификационной комиссии.</w:t>
      </w:r>
      <w:r w:rsidR="00025D79">
        <w:rPr>
          <w:sz w:val="24"/>
          <w:szCs w:val="24"/>
        </w:rPr>
        <w:t xml:space="preserve"> </w:t>
      </w:r>
    </w:p>
    <w:p w:rsidR="00C83EA6" w:rsidRDefault="00C83EA6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заявитель Г</w:t>
      </w:r>
      <w:r w:rsidR="000622ED">
        <w:rPr>
          <w:sz w:val="24"/>
          <w:szCs w:val="24"/>
        </w:rPr>
        <w:t>.</w:t>
      </w:r>
      <w:r>
        <w:rPr>
          <w:sz w:val="24"/>
          <w:szCs w:val="24"/>
        </w:rPr>
        <w:t>А.А. поддержал доводы своей жалобы</w:t>
      </w:r>
      <w:r w:rsidR="00580F3D">
        <w:rPr>
          <w:sz w:val="24"/>
          <w:szCs w:val="24"/>
        </w:rPr>
        <w:t xml:space="preserve"> </w:t>
      </w:r>
      <w:r w:rsidR="00580F3D" w:rsidRPr="00580F3D">
        <w:rPr>
          <w:sz w:val="24"/>
          <w:szCs w:val="24"/>
        </w:rPr>
        <w:t>и пояснил, что реальный раздел земельного участка был произведен ранее другим решением суда от 2015 г. При этом предмет соглашения был сформулирован самим адвокатом и договоренности с адвокатом были изначально другие. Соглашение было заключено с его матерью Г</w:t>
      </w:r>
      <w:r w:rsidR="000622ED">
        <w:rPr>
          <w:sz w:val="24"/>
          <w:szCs w:val="24"/>
        </w:rPr>
        <w:t>.</w:t>
      </w:r>
      <w:r w:rsidR="00580F3D" w:rsidRPr="00580F3D">
        <w:rPr>
          <w:sz w:val="24"/>
          <w:szCs w:val="24"/>
        </w:rPr>
        <w:t>Т.П</w:t>
      </w:r>
      <w:r>
        <w:rPr>
          <w:sz w:val="24"/>
          <w:szCs w:val="24"/>
        </w:rPr>
        <w:t>.</w:t>
      </w:r>
    </w:p>
    <w:p w:rsidR="00C83EA6" w:rsidRDefault="00C83EA6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З</w:t>
      </w:r>
      <w:r w:rsidR="000622ED">
        <w:rPr>
          <w:sz w:val="24"/>
          <w:szCs w:val="24"/>
        </w:rPr>
        <w:t>.</w:t>
      </w:r>
      <w:r>
        <w:rPr>
          <w:sz w:val="24"/>
          <w:szCs w:val="24"/>
        </w:rPr>
        <w:t xml:space="preserve">А.П. согласился с заключением квалификационной комиссии и </w:t>
      </w:r>
      <w:r w:rsidR="00580F3D">
        <w:rPr>
          <w:sz w:val="24"/>
          <w:szCs w:val="24"/>
        </w:rPr>
        <w:t>полностью поддержал доводы своих письменных объяснений.</w:t>
      </w:r>
      <w:r>
        <w:rPr>
          <w:sz w:val="24"/>
          <w:szCs w:val="24"/>
        </w:rPr>
        <w:t xml:space="preserve"> </w:t>
      </w:r>
    </w:p>
    <w:p w:rsidR="001F1203" w:rsidRPr="00293DD0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80F3D">
        <w:rPr>
          <w:sz w:val="24"/>
          <w:szCs w:val="24"/>
          <w:lang w:eastAsia="en-US"/>
        </w:rPr>
        <w:t xml:space="preserve"> заслушав устные пояснения участников дисциплинарного производства,</w:t>
      </w:r>
      <w:r w:rsidR="00601CAD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</w:t>
      </w:r>
      <w:r w:rsidR="001B3A68">
        <w:rPr>
          <w:sz w:val="24"/>
          <w:szCs w:val="24"/>
        </w:rPr>
        <w:t xml:space="preserve">к выводу о том, что </w:t>
      </w:r>
      <w:r w:rsidR="00025D79">
        <w:rPr>
          <w:sz w:val="24"/>
          <w:szCs w:val="24"/>
        </w:rPr>
        <w:t>а</w:t>
      </w:r>
      <w:r w:rsidR="00025D79" w:rsidRPr="00025D79">
        <w:rPr>
          <w:sz w:val="24"/>
          <w:szCs w:val="24"/>
        </w:rPr>
        <w:t xml:space="preserve">двокат </w:t>
      </w:r>
      <w:r w:rsidR="00580F3D">
        <w:rPr>
          <w:sz w:val="24"/>
          <w:szCs w:val="24"/>
          <w:lang w:eastAsia="en-US"/>
        </w:rPr>
        <w:t>З</w:t>
      </w:r>
      <w:r w:rsidR="000622ED">
        <w:rPr>
          <w:sz w:val="24"/>
          <w:szCs w:val="24"/>
          <w:lang w:eastAsia="en-US"/>
        </w:rPr>
        <w:t>.</w:t>
      </w:r>
      <w:r w:rsidR="00580F3D">
        <w:rPr>
          <w:sz w:val="24"/>
          <w:szCs w:val="24"/>
          <w:lang w:eastAsia="en-US"/>
        </w:rPr>
        <w:t>А.П</w:t>
      </w:r>
      <w:r w:rsidR="001F1203" w:rsidRPr="001F1203">
        <w:rPr>
          <w:sz w:val="24"/>
          <w:szCs w:val="24"/>
          <w:lang w:eastAsia="en-US"/>
        </w:rPr>
        <w:t xml:space="preserve">. </w:t>
      </w:r>
      <w:r w:rsidR="00580F3D" w:rsidRPr="00580F3D">
        <w:rPr>
          <w:sz w:val="24"/>
          <w:szCs w:val="24"/>
          <w:lang w:eastAsia="en-US"/>
        </w:rPr>
        <w:t>на основании соглашения оказывал юридическую помощь заявителю Г</w:t>
      </w:r>
      <w:r w:rsidR="000622ED">
        <w:rPr>
          <w:sz w:val="24"/>
          <w:szCs w:val="24"/>
          <w:lang w:eastAsia="en-US"/>
        </w:rPr>
        <w:t>.</w:t>
      </w:r>
      <w:r w:rsidR="00580F3D" w:rsidRPr="00580F3D">
        <w:rPr>
          <w:sz w:val="24"/>
          <w:szCs w:val="24"/>
          <w:lang w:eastAsia="en-US"/>
        </w:rPr>
        <w:t>А.А. по земельному спору у мирового судьи</w:t>
      </w:r>
      <w:r w:rsidR="003C5607">
        <w:rPr>
          <w:sz w:val="24"/>
          <w:szCs w:val="24"/>
          <w:lang w:eastAsia="en-US"/>
        </w:rPr>
        <w:t>.</w:t>
      </w:r>
    </w:p>
    <w:p w:rsidR="005A75E7" w:rsidRDefault="005A75E7" w:rsidP="003C5607">
      <w:pPr>
        <w:jc w:val="both"/>
        <w:rPr>
          <w:sz w:val="24"/>
          <w:szCs w:val="24"/>
          <w:lang w:eastAsia="en-US"/>
        </w:rPr>
      </w:pPr>
      <w:r w:rsidRPr="005A75E7"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</w:t>
      </w:r>
      <w:r>
        <w:rPr>
          <w:sz w:val="24"/>
          <w:szCs w:val="24"/>
          <w:lang w:eastAsia="en-US"/>
        </w:rPr>
        <w:t>.</w:t>
      </w:r>
    </w:p>
    <w:p w:rsidR="00580F3D" w:rsidRPr="00580F3D" w:rsidRDefault="00580F3D" w:rsidP="00580F3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580F3D">
        <w:rPr>
          <w:sz w:val="24"/>
          <w:szCs w:val="24"/>
          <w:lang w:eastAsia="en-US"/>
        </w:rPr>
        <w:t xml:space="preserve">В соответствии с п.п.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В силу </w:t>
      </w:r>
      <w:proofErr w:type="spellStart"/>
      <w:r w:rsidRPr="00580F3D">
        <w:rPr>
          <w:sz w:val="24"/>
          <w:szCs w:val="24"/>
          <w:lang w:eastAsia="en-US"/>
        </w:rPr>
        <w:t>пп</w:t>
      </w:r>
      <w:proofErr w:type="spellEnd"/>
      <w:r w:rsidRPr="00580F3D">
        <w:rPr>
          <w:sz w:val="24"/>
          <w:szCs w:val="24"/>
          <w:lang w:eastAsia="en-US"/>
        </w:rPr>
        <w:t>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:rsidR="001F1203" w:rsidRPr="001F1203" w:rsidRDefault="00580F3D" w:rsidP="00580F3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580F3D">
        <w:rPr>
          <w:sz w:val="24"/>
          <w:szCs w:val="24"/>
          <w:lang w:eastAsia="en-US"/>
        </w:rPr>
        <w:t>В рассматриваемом деле заявителем не представлено надлежащих доказательств неисполнения адвокатом своих профессиональных обязанностей. Из изученных процессуальных документов следует, что предметом соглашения об оказании юридической помощи от 22.08.2018 г., заключенного между адвокатами З</w:t>
      </w:r>
      <w:r w:rsidR="000622ED">
        <w:rPr>
          <w:sz w:val="24"/>
          <w:szCs w:val="24"/>
          <w:lang w:eastAsia="en-US"/>
        </w:rPr>
        <w:t>.</w:t>
      </w:r>
      <w:r w:rsidRPr="00580F3D">
        <w:rPr>
          <w:sz w:val="24"/>
          <w:szCs w:val="24"/>
          <w:lang w:eastAsia="en-US"/>
        </w:rPr>
        <w:t>А.П</w:t>
      </w:r>
      <w:r>
        <w:rPr>
          <w:sz w:val="24"/>
          <w:szCs w:val="24"/>
          <w:lang w:eastAsia="en-US"/>
        </w:rPr>
        <w:t>.</w:t>
      </w:r>
      <w:r w:rsidRPr="00580F3D">
        <w:rPr>
          <w:sz w:val="24"/>
          <w:szCs w:val="24"/>
          <w:lang w:eastAsia="en-US"/>
        </w:rPr>
        <w:t xml:space="preserve"> и доверителем Г</w:t>
      </w:r>
      <w:r w:rsidR="000622ED">
        <w:rPr>
          <w:sz w:val="24"/>
          <w:szCs w:val="24"/>
          <w:lang w:eastAsia="en-US"/>
        </w:rPr>
        <w:t>.</w:t>
      </w:r>
      <w:r w:rsidRPr="00580F3D">
        <w:rPr>
          <w:sz w:val="24"/>
          <w:szCs w:val="24"/>
          <w:lang w:eastAsia="en-US"/>
        </w:rPr>
        <w:t>Т.П., было представление «прав и законных интересов Г</w:t>
      </w:r>
      <w:r w:rsidR="000622ED">
        <w:rPr>
          <w:sz w:val="24"/>
          <w:szCs w:val="24"/>
          <w:lang w:eastAsia="en-US"/>
        </w:rPr>
        <w:t>.</w:t>
      </w:r>
      <w:r w:rsidRPr="00580F3D">
        <w:rPr>
          <w:sz w:val="24"/>
          <w:szCs w:val="24"/>
          <w:lang w:eastAsia="en-US"/>
        </w:rPr>
        <w:t>Т.П. у мирового судьи…об определении порядка пользования земельным участком»</w:t>
      </w:r>
      <w:r w:rsidR="001F1203" w:rsidRPr="001F1203">
        <w:rPr>
          <w:sz w:val="24"/>
          <w:szCs w:val="24"/>
          <w:lang w:eastAsia="en-US"/>
        </w:rPr>
        <w:t>.</w:t>
      </w:r>
    </w:p>
    <w:p w:rsidR="005A75E7" w:rsidRDefault="001F1203" w:rsidP="00580F3D">
      <w:pPr>
        <w:ind w:firstLine="567"/>
        <w:jc w:val="both"/>
        <w:rPr>
          <w:sz w:val="24"/>
          <w:szCs w:val="24"/>
          <w:lang w:eastAsia="en-US"/>
        </w:rPr>
      </w:pPr>
      <w:r>
        <w:rPr>
          <w:rFonts w:eastAsia="Calibri"/>
          <w:szCs w:val="24"/>
        </w:rPr>
        <w:tab/>
      </w:r>
      <w:r>
        <w:rPr>
          <w:sz w:val="24"/>
          <w:szCs w:val="24"/>
          <w:lang w:eastAsia="en-US"/>
        </w:rPr>
        <w:t>Совет, соглашаясь с комиссией,</w:t>
      </w:r>
      <w:r w:rsidR="00580F3D">
        <w:rPr>
          <w:sz w:val="24"/>
          <w:szCs w:val="24"/>
          <w:lang w:eastAsia="en-US"/>
        </w:rPr>
        <w:t xml:space="preserve"> констатирует, что</w:t>
      </w:r>
      <w:r w:rsidRPr="001F1203">
        <w:rPr>
          <w:sz w:val="24"/>
          <w:szCs w:val="24"/>
          <w:lang w:eastAsia="en-US"/>
        </w:rPr>
        <w:t xml:space="preserve"> </w:t>
      </w:r>
      <w:r w:rsidR="00580F3D" w:rsidRPr="00580F3D">
        <w:rPr>
          <w:sz w:val="24"/>
          <w:szCs w:val="24"/>
          <w:lang w:eastAsia="en-US"/>
        </w:rPr>
        <w:t xml:space="preserve">заявленный адвокатом иск в мировой суд точно соответствовал предмету заключенного соглашения об оказании юридической помощи. </w:t>
      </w:r>
      <w:r w:rsidR="00580F3D">
        <w:rPr>
          <w:sz w:val="24"/>
          <w:szCs w:val="24"/>
          <w:lang w:eastAsia="en-US"/>
        </w:rPr>
        <w:t>Также,</w:t>
      </w:r>
      <w:r w:rsidR="00580F3D" w:rsidRPr="00580F3D">
        <w:rPr>
          <w:sz w:val="24"/>
          <w:szCs w:val="24"/>
          <w:lang w:eastAsia="en-US"/>
        </w:rPr>
        <w:t xml:space="preserve"> вопреки доводам жалобы</w:t>
      </w:r>
      <w:r w:rsidR="00580F3D">
        <w:rPr>
          <w:sz w:val="24"/>
          <w:szCs w:val="24"/>
          <w:lang w:eastAsia="en-US"/>
        </w:rPr>
        <w:t>,</w:t>
      </w:r>
      <w:r w:rsidR="00580F3D" w:rsidRPr="00580F3D">
        <w:rPr>
          <w:sz w:val="24"/>
          <w:szCs w:val="24"/>
          <w:lang w:eastAsia="en-US"/>
        </w:rPr>
        <w:t xml:space="preserve"> в удовлетворении искового заявления не было отказано в полном объеме,  решением</w:t>
      </w:r>
      <w:r w:rsidR="00580F3D">
        <w:rPr>
          <w:sz w:val="24"/>
          <w:szCs w:val="24"/>
          <w:lang w:eastAsia="en-US"/>
        </w:rPr>
        <w:t xml:space="preserve"> мирового суда от 04 марта 2019</w:t>
      </w:r>
      <w:r w:rsidR="00580F3D" w:rsidRPr="00580F3D">
        <w:rPr>
          <w:sz w:val="24"/>
          <w:szCs w:val="24"/>
          <w:lang w:eastAsia="en-US"/>
        </w:rPr>
        <w:t xml:space="preserve">г. указанный </w:t>
      </w:r>
      <w:r w:rsidR="00580F3D">
        <w:rPr>
          <w:sz w:val="24"/>
          <w:szCs w:val="24"/>
          <w:lang w:eastAsia="en-US"/>
        </w:rPr>
        <w:t>иск был удовлетворен в части.</w:t>
      </w:r>
    </w:p>
    <w:p w:rsidR="00580F3D" w:rsidRPr="00580F3D" w:rsidRDefault="00580F3D" w:rsidP="00580F3D">
      <w:pPr>
        <w:tabs>
          <w:tab w:val="left" w:pos="3828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580F3D">
        <w:rPr>
          <w:sz w:val="24"/>
          <w:szCs w:val="24"/>
          <w:lang w:eastAsia="en-US"/>
        </w:rPr>
        <w:t>Таким образом, доводы жалобы не находят своего подтверждения в исследованных материалах дисциплинарного производства.</w:t>
      </w:r>
    </w:p>
    <w:p w:rsidR="00C207CB" w:rsidRPr="00F57917" w:rsidRDefault="00580F3D" w:rsidP="00580F3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</w:t>
      </w:r>
      <w:r w:rsidR="001B3A68">
        <w:rPr>
          <w:sz w:val="24"/>
          <w:szCs w:val="24"/>
          <w:lang w:eastAsia="en-US"/>
        </w:rPr>
        <w:t>В связи с изложенным Совет</w:t>
      </w:r>
      <w:r w:rsidR="009A07AF"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F57917" w:rsidRDefault="00E73BEC" w:rsidP="00230EF1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80F3D" w:rsidRPr="00230EF1" w:rsidRDefault="00580F3D" w:rsidP="00230EF1">
      <w:pPr>
        <w:ind w:firstLine="708"/>
        <w:jc w:val="both"/>
        <w:rPr>
          <w:sz w:val="24"/>
          <w:szCs w:val="24"/>
        </w:rPr>
      </w:pPr>
      <w:r w:rsidRPr="00FE359E">
        <w:rPr>
          <w:sz w:val="24"/>
          <w:szCs w:val="24"/>
          <w:lang w:eastAsia="en-US"/>
        </w:rPr>
        <w:t xml:space="preserve">На основании изложенного, оценив собранные доказательства, </w:t>
      </w:r>
      <w:r>
        <w:rPr>
          <w:sz w:val="24"/>
          <w:szCs w:val="24"/>
          <w:lang w:eastAsia="en-US"/>
        </w:rPr>
        <w:t>Совет</w:t>
      </w:r>
      <w:r w:rsidRPr="00FE359E">
        <w:rPr>
          <w:sz w:val="24"/>
          <w:szCs w:val="24"/>
          <w:lang w:eastAsia="en-US"/>
        </w:rPr>
        <w:t xml:space="preserve"> приходит к выводу об отсутствии в де</w:t>
      </w:r>
      <w:r>
        <w:rPr>
          <w:sz w:val="24"/>
          <w:szCs w:val="24"/>
          <w:lang w:eastAsia="en-US"/>
        </w:rPr>
        <w:t>йствиях адвоката З</w:t>
      </w:r>
      <w:r w:rsidR="000622E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А.П.</w:t>
      </w:r>
      <w:r w:rsidRPr="00FE359E">
        <w:rPr>
          <w:sz w:val="24"/>
          <w:szCs w:val="24"/>
          <w:lang w:eastAsia="en-US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</w:t>
      </w:r>
      <w:r>
        <w:rPr>
          <w:sz w:val="24"/>
          <w:szCs w:val="24"/>
          <w:lang w:eastAsia="en-US"/>
        </w:rPr>
        <w:t xml:space="preserve"> перед доверителем Г</w:t>
      </w:r>
      <w:r w:rsidR="000622E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622ED">
        <w:rPr>
          <w:sz w:val="24"/>
          <w:szCs w:val="24"/>
        </w:rPr>
        <w:t>З.А.П.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0622ED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1B0467">
        <w:rPr>
          <w:sz w:val="24"/>
          <w:szCs w:val="24"/>
        </w:rPr>
        <w:t xml:space="preserve"> (</w:t>
      </w:r>
      <w:r w:rsidR="00580F3D" w:rsidRPr="00964E4A">
        <w:rPr>
          <w:sz w:val="24"/>
          <w:szCs w:val="24"/>
        </w:rPr>
        <w:t xml:space="preserve">избранная форма адвокатского образования – </w:t>
      </w:r>
      <w:r w:rsidR="000622ED">
        <w:rPr>
          <w:sz w:val="24"/>
          <w:szCs w:val="24"/>
        </w:rPr>
        <w:t>…..</w:t>
      </w:r>
      <w:r w:rsidR="001B0467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1B0467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203" w:rsidRDefault="001F1203" w:rsidP="005F0EBD">
      <w:r>
        <w:separator/>
      </w:r>
    </w:p>
  </w:endnote>
  <w:endnote w:type="continuationSeparator" w:id="0">
    <w:p w:rsidR="001F1203" w:rsidRDefault="001F1203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03" w:rsidRDefault="001F1203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1F1203" w:rsidRDefault="00DA66D3">
        <w:pPr>
          <w:pStyle w:val="afb"/>
          <w:jc w:val="right"/>
        </w:pPr>
        <w:fldSimple w:instr="PAGE   \* MERGEFORMAT">
          <w:r w:rsidR="000622ED">
            <w:rPr>
              <w:noProof/>
            </w:rPr>
            <w:t>4</w:t>
          </w:r>
        </w:fldSimple>
      </w:p>
    </w:sdtContent>
  </w:sdt>
  <w:p w:rsidR="001F1203" w:rsidRDefault="001F1203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03" w:rsidRDefault="001F120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203" w:rsidRDefault="001F1203" w:rsidP="005F0EBD">
      <w:r>
        <w:separator/>
      </w:r>
    </w:p>
  </w:footnote>
  <w:footnote w:type="continuationSeparator" w:id="0">
    <w:p w:rsidR="001F1203" w:rsidRDefault="001F1203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03" w:rsidRDefault="001F1203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03" w:rsidRDefault="001F1203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03" w:rsidRDefault="001F1203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4F"/>
    <w:multiLevelType w:val="multilevel"/>
    <w:tmpl w:val="D110E34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22ED"/>
    <w:rsid w:val="0006785E"/>
    <w:rsid w:val="00130EB5"/>
    <w:rsid w:val="001B0467"/>
    <w:rsid w:val="001B3A68"/>
    <w:rsid w:val="001D1E34"/>
    <w:rsid w:val="001D2033"/>
    <w:rsid w:val="001F1203"/>
    <w:rsid w:val="00226DB5"/>
    <w:rsid w:val="00230EF1"/>
    <w:rsid w:val="002727A5"/>
    <w:rsid w:val="00284A92"/>
    <w:rsid w:val="00293DD0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80F3D"/>
    <w:rsid w:val="005A75E7"/>
    <w:rsid w:val="005B137D"/>
    <w:rsid w:val="005B64D7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7089F"/>
    <w:rsid w:val="007716C2"/>
    <w:rsid w:val="007B0B3B"/>
    <w:rsid w:val="007D1825"/>
    <w:rsid w:val="007E4E85"/>
    <w:rsid w:val="007F262E"/>
    <w:rsid w:val="008257C4"/>
    <w:rsid w:val="008469A7"/>
    <w:rsid w:val="00894D21"/>
    <w:rsid w:val="008C513B"/>
    <w:rsid w:val="00910619"/>
    <w:rsid w:val="00913DA8"/>
    <w:rsid w:val="00941FAF"/>
    <w:rsid w:val="009609F0"/>
    <w:rsid w:val="00964E4A"/>
    <w:rsid w:val="009A07AF"/>
    <w:rsid w:val="00A23C32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51BBF"/>
    <w:rsid w:val="00C70CC4"/>
    <w:rsid w:val="00C83EA6"/>
    <w:rsid w:val="00CB6680"/>
    <w:rsid w:val="00D3053C"/>
    <w:rsid w:val="00D400A0"/>
    <w:rsid w:val="00D527E0"/>
    <w:rsid w:val="00D76719"/>
    <w:rsid w:val="00DA0562"/>
    <w:rsid w:val="00DA0722"/>
    <w:rsid w:val="00DA66D3"/>
    <w:rsid w:val="00DC0B21"/>
    <w:rsid w:val="00DE07D6"/>
    <w:rsid w:val="00DE4F3E"/>
    <w:rsid w:val="00E02AF5"/>
    <w:rsid w:val="00E26D8F"/>
    <w:rsid w:val="00E42BC0"/>
    <w:rsid w:val="00E63A6D"/>
    <w:rsid w:val="00E670C2"/>
    <w:rsid w:val="00E73BEC"/>
    <w:rsid w:val="00E81ECF"/>
    <w:rsid w:val="00E92059"/>
    <w:rsid w:val="00EB2999"/>
    <w:rsid w:val="00EE5ECC"/>
    <w:rsid w:val="00F22650"/>
    <w:rsid w:val="00F337FC"/>
    <w:rsid w:val="00F43D67"/>
    <w:rsid w:val="00F57917"/>
    <w:rsid w:val="00F91E0F"/>
    <w:rsid w:val="00FA210A"/>
    <w:rsid w:val="00FB3B5B"/>
    <w:rsid w:val="00FE017D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uiPriority w:val="1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10</cp:revision>
  <cp:lastPrinted>2019-04-29T07:25:00Z</cp:lastPrinted>
  <dcterms:created xsi:type="dcterms:W3CDTF">2019-04-29T07:26:00Z</dcterms:created>
  <dcterms:modified xsi:type="dcterms:W3CDTF">2022-04-02T19:21:00Z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