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C17D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C58BBFD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330C21C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109386E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1037A7">
        <w:rPr>
          <w:b/>
          <w:caps/>
          <w:sz w:val="24"/>
          <w:szCs w:val="24"/>
        </w:rPr>
        <w:t>27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06AB7137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A22F2E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9CDF418" w14:textId="344E0A74" w:rsidR="00747150" w:rsidRPr="00711E63" w:rsidRDefault="00916F14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14:paraId="5D1A0493" w14:textId="77777777" w:rsidR="008A5E53" w:rsidRPr="00711E63" w:rsidRDefault="008A5E53" w:rsidP="00851FD6">
      <w:pPr>
        <w:rPr>
          <w:b/>
          <w:sz w:val="24"/>
          <w:szCs w:val="24"/>
        </w:rPr>
      </w:pPr>
    </w:p>
    <w:p w14:paraId="4A2E5CA9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6FA59064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DA133BB" w14:textId="13F15661" w:rsidR="00747150" w:rsidRPr="00711E63" w:rsidRDefault="001037A7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Р</w:t>
      </w:r>
      <w:r w:rsidR="00916F14">
        <w:rPr>
          <w:sz w:val="24"/>
          <w:szCs w:val="24"/>
        </w:rPr>
        <w:t>.</w:t>
      </w:r>
      <w:r>
        <w:rPr>
          <w:sz w:val="24"/>
          <w:szCs w:val="24"/>
        </w:rPr>
        <w:t>Е.В</w:t>
      </w:r>
      <w:r w:rsidR="00747150" w:rsidRPr="00711E63">
        <w:rPr>
          <w:sz w:val="24"/>
          <w:szCs w:val="24"/>
        </w:rPr>
        <w:t>.,</w:t>
      </w:r>
    </w:p>
    <w:p w14:paraId="6C4A59E2" w14:textId="77777777" w:rsidR="00D400A0" w:rsidRDefault="00D400A0">
      <w:pPr>
        <w:jc w:val="center"/>
        <w:rPr>
          <w:b/>
          <w:sz w:val="24"/>
          <w:szCs w:val="24"/>
        </w:rPr>
      </w:pPr>
    </w:p>
    <w:p w14:paraId="7B6721D8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E8A474A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59DDCA68" w14:textId="30CBD3A7" w:rsidR="001037A7" w:rsidRDefault="001037A7" w:rsidP="00103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22.04.2019 г. поступило представление начальника Управления Министерства юстиции Российской Федерации по МО Зелепукина М.Ю. в отношении адвоката </w:t>
      </w:r>
      <w:r w:rsidR="00916F14">
        <w:rPr>
          <w:sz w:val="24"/>
          <w:szCs w:val="24"/>
        </w:rPr>
        <w:t>Р.Е.В.</w:t>
      </w:r>
      <w:r>
        <w:rPr>
          <w:sz w:val="24"/>
          <w:szCs w:val="24"/>
        </w:rPr>
        <w:t xml:space="preserve">, имеющего регистрационный </w:t>
      </w:r>
      <w:proofErr w:type="gramStart"/>
      <w:r>
        <w:rPr>
          <w:sz w:val="24"/>
          <w:szCs w:val="24"/>
        </w:rPr>
        <w:t>№</w:t>
      </w:r>
      <w:r w:rsidR="00916F14">
        <w:rPr>
          <w:sz w:val="24"/>
          <w:szCs w:val="24"/>
        </w:rPr>
        <w:t>….</w:t>
      </w:r>
      <w:proofErr w:type="gramEnd"/>
      <w:r w:rsidR="00916F14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916F14">
        <w:rPr>
          <w:sz w:val="24"/>
          <w:szCs w:val="24"/>
        </w:rPr>
        <w:t>…..</w:t>
      </w:r>
      <w:r>
        <w:rPr>
          <w:sz w:val="24"/>
          <w:szCs w:val="24"/>
        </w:rPr>
        <w:t>).</w:t>
      </w:r>
    </w:p>
    <w:p w14:paraId="2CAAE088" w14:textId="33139F51" w:rsidR="001037A7" w:rsidRDefault="001037A7" w:rsidP="00103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указывается в представлении, адвокат Р</w:t>
      </w:r>
      <w:r w:rsidR="00916F14">
        <w:rPr>
          <w:sz w:val="24"/>
          <w:szCs w:val="24"/>
        </w:rPr>
        <w:t>.</w:t>
      </w:r>
      <w:r>
        <w:rPr>
          <w:sz w:val="24"/>
          <w:szCs w:val="24"/>
        </w:rPr>
        <w:t>Е.В. осуществляет защиту О</w:t>
      </w:r>
      <w:r w:rsidR="00916F14">
        <w:rPr>
          <w:sz w:val="24"/>
          <w:szCs w:val="24"/>
        </w:rPr>
        <w:t>.</w:t>
      </w:r>
      <w:r>
        <w:rPr>
          <w:sz w:val="24"/>
          <w:szCs w:val="24"/>
        </w:rPr>
        <w:t>П.Л. по уголовному делу и не явилась для ознакомления с материалами уголовного дела 17.01.19, 18.01.19, 21.01.19, 22.01.19, о причинах неявки следователю не сообщила.</w:t>
      </w:r>
    </w:p>
    <w:p w14:paraId="327498B3" w14:textId="77777777" w:rsidR="001037A7" w:rsidRDefault="001037A7" w:rsidP="00103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30.04.2019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3E12D5F5" w14:textId="77777777" w:rsidR="001037A7" w:rsidRDefault="001037A7" w:rsidP="00103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14.05.2019 г. адвокату был направлен запрос №1615 </w:t>
      </w:r>
      <w:r w:rsidR="0013403A">
        <w:rPr>
          <w:sz w:val="24"/>
          <w:szCs w:val="24"/>
        </w:rPr>
        <w:t>с предложением представить объяснения</w:t>
      </w:r>
      <w:r>
        <w:rPr>
          <w:sz w:val="24"/>
          <w:szCs w:val="24"/>
        </w:rPr>
        <w:t xml:space="preserve"> по доводам поступившей жалобы.</w:t>
      </w:r>
    </w:p>
    <w:p w14:paraId="73A6E40E" w14:textId="5D678632" w:rsidR="001037A7" w:rsidRDefault="001037A7" w:rsidP="001037A7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Адвокат в письменных объяснениях возражала против доводов представления и пояснила, что ее подзащитный и она были вызваны на 16.01.2019</w:t>
      </w:r>
      <w:r w:rsidR="00B544B8">
        <w:rPr>
          <w:rFonts w:eastAsia="Calibri"/>
          <w:szCs w:val="24"/>
        </w:rPr>
        <w:t xml:space="preserve"> г.</w:t>
      </w:r>
      <w:r>
        <w:rPr>
          <w:rFonts w:eastAsia="Calibri"/>
          <w:szCs w:val="24"/>
        </w:rPr>
        <w:t xml:space="preserve"> для проведения следственных действий, а именно: следователь пояснила, что принято решение о назначении экспертизы, о проведении которой неоднократно сторона защиты заявляла соответствующие мотивированные ходатайства. В указанную дату О</w:t>
      </w:r>
      <w:r w:rsidR="00916F14">
        <w:rPr>
          <w:rFonts w:eastAsia="Calibri"/>
          <w:szCs w:val="24"/>
        </w:rPr>
        <w:t>.</w:t>
      </w:r>
      <w:r>
        <w:rPr>
          <w:rFonts w:eastAsia="Calibri"/>
          <w:szCs w:val="24"/>
        </w:rPr>
        <w:t>П.Л. и защитник явились к следователю с подготовленным ходатайством о назначении экспертизы, однако следователь, ознакомив с протоколом дополнительного допроса эксперта, объявила об окончании следственных действий и уведомила о возможности ознакомления с материалами дела в следующие даты: 17.01.2018, 18.01.2019, 21.01.2019, 22.01.2019, 23.01.2019 г.</w:t>
      </w:r>
    </w:p>
    <w:p w14:paraId="6487D4EF" w14:textId="38FE54C3" w:rsidR="001037A7" w:rsidRDefault="001037A7" w:rsidP="001037A7">
      <w:pPr>
        <w:pStyle w:val="af3"/>
        <w:ind w:firstLine="708"/>
        <w:jc w:val="both"/>
      </w:pPr>
      <w:r>
        <w:rPr>
          <w:rFonts w:eastAsia="Calibri"/>
          <w:szCs w:val="24"/>
        </w:rPr>
        <w:t>Адвокат полагает, что в нарушение положений ч. 1, 3 ст. 217 УПК РФ обвиняемому и защитнику 16.01.2019 было предъявлено уведомление о предоставлении возможности ознакомиться с материалами уголовного дела, в котором следователем был установлен срок для ознакомления – 5 суток с указанием конкретных пяти рабочих дней. Также адвокат поясняет, что из указанных 5 рабочих дней возможность ознакомления предоставлялась следователем не каждый день, т.к. следователь регулярно отсутствовала на рабочем месте. Далее по ходатайству следствия Щ</w:t>
      </w:r>
      <w:r w:rsidR="00916F14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городским судом МО были установлены сроки для ознакомления с материалами уголовного дела, при этом суд принял сроки для ознакомления, на которых настаивала сторона защиты</w:t>
      </w:r>
      <w:r>
        <w:t xml:space="preserve">. </w:t>
      </w:r>
    </w:p>
    <w:p w14:paraId="4A00CBBC" w14:textId="5D14CDEA" w:rsidR="001037A7" w:rsidRDefault="001037A7" w:rsidP="001037A7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действиях </w:t>
      </w:r>
      <w:r>
        <w:rPr>
          <w:rFonts w:eastAsia="Calibri"/>
          <w:sz w:val="24"/>
          <w:szCs w:val="24"/>
        </w:rPr>
        <w:lastRenderedPageBreak/>
        <w:t xml:space="preserve">(бездействии) адвоката </w:t>
      </w:r>
      <w:r w:rsidR="00916F14">
        <w:rPr>
          <w:rFonts w:eastAsia="Calibri"/>
          <w:sz w:val="24"/>
          <w:szCs w:val="24"/>
        </w:rPr>
        <w:t>Р.Е.В.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1B94CF41" w14:textId="77777777" w:rsidR="001037A7" w:rsidRDefault="001037A7" w:rsidP="00103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36DFAFEE" w14:textId="43FAE0A0" w:rsidR="001037A7" w:rsidRDefault="001037A7" w:rsidP="001037A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  <w:r w:rsidR="00D84CB7">
        <w:rPr>
          <w:sz w:val="24"/>
          <w:szCs w:val="24"/>
          <w:lang w:eastAsia="en-US"/>
        </w:rPr>
        <w:t xml:space="preserve">     </w:t>
      </w: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приходит к выводу о том, что адвокат Р</w:t>
      </w:r>
      <w:r w:rsidR="00916F1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осуществляет защиту О</w:t>
      </w:r>
      <w:r w:rsidR="00916F1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П.Л. по уголовному делу на стадии предварительного следствия. Начиная с 17.01.2019 г</w:t>
      </w:r>
      <w:r w:rsidR="00B544B8">
        <w:rPr>
          <w:sz w:val="24"/>
          <w:szCs w:val="24"/>
          <w:lang w:eastAsia="en-US"/>
        </w:rPr>
        <w:t>.,</w:t>
      </w:r>
      <w:r>
        <w:rPr>
          <w:sz w:val="24"/>
          <w:szCs w:val="24"/>
          <w:lang w:eastAsia="en-US"/>
        </w:rPr>
        <w:t xml:space="preserve"> адвокат должна была приступить к ознакомлению с материалами уголовного дела.</w:t>
      </w:r>
    </w:p>
    <w:p w14:paraId="3E6D0398" w14:textId="77777777" w:rsidR="001037A7" w:rsidRDefault="001037A7" w:rsidP="001037A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72FB8A7" w14:textId="77777777" w:rsidR="001037A7" w:rsidRDefault="001037A7" w:rsidP="001037A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7CCBE815" w14:textId="77777777" w:rsidR="001037A7" w:rsidRDefault="001037A7" w:rsidP="001037A7">
      <w:pPr>
        <w:ind w:firstLine="708"/>
        <w:jc w:val="both"/>
        <w:rPr>
          <w:rStyle w:val="96"/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Согласно ст. 12 Кодекса профессиональной этики адвоката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участвуя в судопроизводстве, а также представляя интересы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доверителя в органах государственной власти и органах местного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самоуправления, адвокат должен соблюдать нормы соответствующего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процессуального законодательства, проявлять уважение к суду и лицам,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участвующим в деле. Возражая против действий (бездействия) судей и лиц, участвующих в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деле, адвокат должен делать это в корректной форме и в соответствии с</w:t>
      </w:r>
      <w:r>
        <w:rPr>
          <w:rStyle w:val="97"/>
          <w:rFonts w:eastAsia="Calibri"/>
          <w:color w:val="00000A"/>
          <w:sz w:val="24"/>
          <w:szCs w:val="24"/>
          <w:lang w:eastAsia="en-US"/>
        </w:rPr>
        <w:t xml:space="preserve"> </w:t>
      </w:r>
      <w:r>
        <w:rPr>
          <w:rStyle w:val="96"/>
          <w:rFonts w:eastAsia="Calibri"/>
          <w:color w:val="00000A"/>
          <w:sz w:val="24"/>
          <w:szCs w:val="24"/>
          <w:lang w:eastAsia="en-US"/>
        </w:rPr>
        <w:t>законом</w:t>
      </w:r>
    </w:p>
    <w:p w14:paraId="359372ED" w14:textId="77777777" w:rsidR="001037A7" w:rsidRDefault="001037A7" w:rsidP="001037A7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 </w:t>
      </w:r>
      <w:r w:rsidR="00D84CB7">
        <w:rPr>
          <w:rFonts w:eastAsia="Calibri"/>
          <w:color w:val="00000A"/>
          <w:sz w:val="24"/>
          <w:szCs w:val="24"/>
          <w:lang w:eastAsia="en-US"/>
        </w:rPr>
        <w:t xml:space="preserve">     </w:t>
      </w:r>
      <w:r>
        <w:rPr>
          <w:rFonts w:eastAsia="Calibri"/>
          <w:color w:val="00000A"/>
          <w:sz w:val="24"/>
          <w:szCs w:val="24"/>
          <w:lang w:eastAsia="en-US"/>
        </w:rPr>
        <w:t>Согласно п.п.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4ACCD54" w14:textId="77777777" w:rsidR="001037A7" w:rsidRDefault="001037A7" w:rsidP="001037A7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  Из материалов дисциплинарного производства усматривается, что адвокат не явилась для ознакомления с материалами уголовного дела 17.01.19, 18.01.19, 21.01.19, 22.01.19. Факт надлежащего уведомления адвоката о датах проведения процессуальных действий подтверждается уведомлением от 16.01.2019 г. и не оспаривается самим адвокатом</w:t>
      </w:r>
      <w:r>
        <w:rPr>
          <w:rFonts w:eastAsia="Calibri"/>
          <w:color w:val="00000A"/>
          <w:sz w:val="24"/>
          <w:szCs w:val="24"/>
          <w:lang w:eastAsia="en-US"/>
        </w:rPr>
        <w:t>.</w:t>
      </w:r>
    </w:p>
    <w:p w14:paraId="244E0A8D" w14:textId="77777777" w:rsidR="001037A7" w:rsidRDefault="001037A7" w:rsidP="001037A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Согласно ч. 3 ст. 217 УПК РФ в случае,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материалами, то на основании судебного решения, принимаемого в порядке, установленном </w:t>
      </w:r>
      <w:hyperlink r:id="rId6">
        <w:r>
          <w:rPr>
            <w:rStyle w:val="-"/>
            <w:rFonts w:eastAsia="Calibri"/>
            <w:color w:val="00000A"/>
            <w:sz w:val="24"/>
            <w:szCs w:val="24"/>
            <w:lang w:eastAsia="en-US"/>
          </w:rPr>
          <w:t>ст. 125</w:t>
        </w:r>
      </w:hyperlink>
      <w:r>
        <w:rPr>
          <w:rFonts w:eastAsia="Calibri"/>
          <w:color w:val="00000A"/>
          <w:sz w:val="24"/>
          <w:szCs w:val="24"/>
          <w:lang w:eastAsia="en-US"/>
        </w:rPr>
        <w:t xml:space="preserve"> УПК РФ, устанавливается определенный срок для ознакомления с материалами уголовного дела. В случае, если обвиняемый и его защитник без уважительных причин не ознакомились с материалами уголовного дела в установленный судом срок, следователь вправе принять решение об окончании </w:t>
      </w:r>
      <w:r>
        <w:rPr>
          <w:rFonts w:eastAsia="Calibri"/>
          <w:color w:val="00000A"/>
          <w:sz w:val="24"/>
          <w:szCs w:val="24"/>
          <w:lang w:eastAsia="en-US"/>
        </w:rPr>
        <w:lastRenderedPageBreak/>
        <w:t>производства данного процессуального действия, о чем выносит соответствующее постановление и делает отметку в протоколе ознакомления обвиняемого и его защитника с материалами уголовного дела.</w:t>
      </w:r>
    </w:p>
    <w:p w14:paraId="60F78096" w14:textId="0C0926FB" w:rsidR="001037A7" w:rsidRDefault="001037A7" w:rsidP="001037A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Исходя из изложенных выше норм, уголовно-процессуальным законодательством установлены определенные способы </w:t>
      </w:r>
      <w:r w:rsidR="00B544B8">
        <w:rPr>
          <w:rFonts w:eastAsia="Calibri"/>
          <w:color w:val="00000A"/>
          <w:sz w:val="24"/>
          <w:szCs w:val="24"/>
          <w:lang w:eastAsia="en-US"/>
        </w:rPr>
        <w:t>реагирования</w:t>
      </w:r>
      <w:r>
        <w:rPr>
          <w:rFonts w:eastAsia="Calibri"/>
          <w:color w:val="00000A"/>
          <w:sz w:val="24"/>
          <w:szCs w:val="24"/>
          <w:lang w:eastAsia="en-US"/>
        </w:rPr>
        <w:t xml:space="preserve"> органа предварительного следствия при затягивании со стороны обвиняемого или его защитника времени ознакомления с материалами уголовного дела. Как следует из материалов дисциплинарного производства, орган предварительного следствия обратился 24.01.2019 г. в суд с ходатайством об установлении ограничения по времени ознакомления с материалами уголовного дела для обвиняемого О</w:t>
      </w:r>
      <w:r w:rsidR="004764E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П.Л. и защитника Р</w:t>
      </w:r>
      <w:r w:rsidR="004764E6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Е.В. Постановлением Щ</w:t>
      </w:r>
      <w:r w:rsidR="004764E6">
        <w:rPr>
          <w:rFonts w:eastAsia="Calibri"/>
          <w:color w:val="00000A"/>
          <w:sz w:val="24"/>
          <w:szCs w:val="24"/>
          <w:lang w:eastAsia="en-US"/>
        </w:rPr>
        <w:t xml:space="preserve">. </w:t>
      </w:r>
      <w:r>
        <w:rPr>
          <w:rFonts w:eastAsia="Calibri"/>
          <w:color w:val="00000A"/>
          <w:sz w:val="24"/>
          <w:szCs w:val="24"/>
          <w:lang w:eastAsia="en-US"/>
        </w:rPr>
        <w:t>городского суда МО от 28.01.2019 г. указанное ходатайство было удовлетворено, обвиняемому и защитнику назначен срок для ознакомления с материалами уголовного дела до 14.00 01.02.2019 г.</w:t>
      </w:r>
    </w:p>
    <w:p w14:paraId="120CF1A2" w14:textId="77777777" w:rsidR="001037A7" w:rsidRDefault="001037A7" w:rsidP="001037A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Таким образом, орган предварительного следствия реализовал предоставленные ему правомочия в установленной уголовно-процессуальным законом форме и затягивания процессуальных сроков по уголовному делу со стороны защиты не было допущено.</w:t>
      </w:r>
    </w:p>
    <w:p w14:paraId="159E7FFD" w14:textId="77777777" w:rsidR="001037A7" w:rsidRDefault="001037A7" w:rsidP="001037A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7CA0BFDC" w14:textId="77777777" w:rsidR="001037A7" w:rsidRDefault="001037A7" w:rsidP="001037A7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3DED488B" w14:textId="77777777" w:rsidR="001037A7" w:rsidRDefault="001037A7" w:rsidP="001037A7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304CC72" w14:textId="77777777" w:rsidR="001037A7" w:rsidRDefault="001037A7" w:rsidP="001037A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A2403FB" w14:textId="77777777" w:rsidR="001037A7" w:rsidRDefault="001037A7" w:rsidP="001037A7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52B9BAD4" w14:textId="77777777" w:rsidR="001037A7" w:rsidRDefault="001037A7" w:rsidP="001037A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3A414097" w14:textId="77777777" w:rsidR="001037A7" w:rsidRDefault="001037A7" w:rsidP="001037A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457B812" w14:textId="77777777" w:rsidR="001037A7" w:rsidRDefault="001037A7" w:rsidP="001037A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43D74DC" w14:textId="77777777" w:rsidR="001037A7" w:rsidRDefault="001037A7" w:rsidP="001037A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</w:t>
      </w:r>
      <w:r>
        <w:rPr>
          <w:sz w:val="24"/>
          <w:szCs w:val="24"/>
          <w:lang w:eastAsia="en-US"/>
        </w:rPr>
        <w:lastRenderedPageBreak/>
        <w:t>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4B91289" w14:textId="77777777" w:rsidR="001037A7" w:rsidRDefault="001037A7" w:rsidP="00103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6B08D9D9" w14:textId="77777777" w:rsidR="001037A7" w:rsidRDefault="001037A7" w:rsidP="00103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Доводы представления не находят подтверждения в материалах данного дисциплинарного производства.</w:t>
      </w:r>
    </w:p>
    <w:p w14:paraId="4D9A4FFE" w14:textId="013C9A13" w:rsidR="001037A7" w:rsidRDefault="001037A7" w:rsidP="001037A7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приходит к выводу об отсутствии в действиях адвоката Р</w:t>
      </w:r>
      <w:r w:rsidR="004764E6">
        <w:rPr>
          <w:sz w:val="24"/>
          <w:szCs w:val="24"/>
        </w:rPr>
        <w:t>.</w:t>
      </w:r>
      <w:r>
        <w:rPr>
          <w:sz w:val="24"/>
          <w:szCs w:val="24"/>
        </w:rPr>
        <w:t>Е.В. нарушений ФЗ «Об адвокатской деятельности и адвокатуре в РФ» и Кодекса профессиональной этики адвоката</w:t>
      </w:r>
      <w:r>
        <w:rPr>
          <w:color w:val="000000"/>
          <w:sz w:val="24"/>
          <w:szCs w:val="24"/>
        </w:rPr>
        <w:t>.</w:t>
      </w:r>
    </w:p>
    <w:p w14:paraId="33FBAE59" w14:textId="77777777" w:rsidR="001037A7" w:rsidRDefault="001037A7" w:rsidP="001037A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595C5576" w14:textId="77777777" w:rsidR="001037A7" w:rsidRDefault="001037A7" w:rsidP="001037A7">
      <w:pPr>
        <w:ind w:firstLine="708"/>
        <w:jc w:val="both"/>
        <w:rPr>
          <w:color w:val="000000"/>
          <w:sz w:val="24"/>
          <w:szCs w:val="24"/>
        </w:rPr>
      </w:pPr>
    </w:p>
    <w:p w14:paraId="4647747F" w14:textId="77777777" w:rsidR="00B544B8" w:rsidRDefault="00B544B8" w:rsidP="001037A7">
      <w:pPr>
        <w:ind w:firstLine="708"/>
        <w:jc w:val="both"/>
        <w:rPr>
          <w:color w:val="000000"/>
          <w:sz w:val="24"/>
          <w:szCs w:val="24"/>
        </w:rPr>
      </w:pPr>
    </w:p>
    <w:p w14:paraId="3E4D03CE" w14:textId="77777777" w:rsidR="001037A7" w:rsidRDefault="001037A7" w:rsidP="001037A7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B97BD3F" w14:textId="77777777" w:rsidR="00B544B8" w:rsidRDefault="00B544B8" w:rsidP="001037A7">
      <w:pPr>
        <w:ind w:left="3545" w:firstLine="709"/>
        <w:rPr>
          <w:b/>
          <w:sz w:val="24"/>
          <w:szCs w:val="24"/>
        </w:rPr>
      </w:pPr>
    </w:p>
    <w:p w14:paraId="7743D155" w14:textId="4AA14568" w:rsidR="00D527E0" w:rsidRDefault="00B544B8" w:rsidP="001037A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037A7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4764E6">
        <w:rPr>
          <w:sz w:val="24"/>
          <w:szCs w:val="24"/>
        </w:rPr>
        <w:t>Р.Е.В.</w:t>
      </w:r>
      <w:r w:rsidR="001037A7">
        <w:rPr>
          <w:sz w:val="24"/>
          <w:szCs w:val="24"/>
          <w:shd w:val="clear" w:color="auto" w:fill="FFFFFF"/>
        </w:rPr>
        <w:t>, имеющего регистрационный №</w:t>
      </w:r>
      <w:proofErr w:type="gramStart"/>
      <w:r w:rsidR="004764E6">
        <w:rPr>
          <w:sz w:val="24"/>
          <w:szCs w:val="24"/>
          <w:shd w:val="clear" w:color="auto" w:fill="FFFFFF"/>
        </w:rPr>
        <w:t xml:space="preserve"> ….</w:t>
      </w:r>
      <w:proofErr w:type="gramEnd"/>
      <w:r w:rsidR="004764E6">
        <w:rPr>
          <w:sz w:val="24"/>
          <w:szCs w:val="24"/>
          <w:shd w:val="clear" w:color="auto" w:fill="FFFFFF"/>
        </w:rPr>
        <w:t>.</w:t>
      </w:r>
      <w:r w:rsidR="001037A7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4764E6">
        <w:rPr>
          <w:sz w:val="24"/>
          <w:szCs w:val="24"/>
          <w:shd w:val="clear" w:color="auto" w:fill="FFFFFF"/>
        </w:rPr>
        <w:t>…..</w:t>
      </w:r>
      <w:r w:rsidR="001037A7">
        <w:rPr>
          <w:sz w:val="24"/>
          <w:szCs w:val="24"/>
          <w:shd w:val="clear" w:color="auto" w:fill="FFFFFF"/>
        </w:rPr>
        <w:t>)</w:t>
      </w:r>
      <w:r w:rsidR="001037A7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7FC29399" w14:textId="77777777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66A5602C" w14:textId="77777777" w:rsidR="00851FD6" w:rsidRPr="00295214" w:rsidRDefault="00851FD6" w:rsidP="00E4774E">
      <w:pPr>
        <w:ind w:firstLine="708"/>
        <w:jc w:val="both"/>
        <w:rPr>
          <w:sz w:val="24"/>
          <w:szCs w:val="24"/>
        </w:rPr>
      </w:pPr>
    </w:p>
    <w:p w14:paraId="7167611B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260542F2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32E5F463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3ADD55D4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FF534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58327404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9B46" w14:textId="77777777" w:rsidR="0030439C" w:rsidRDefault="0030439C" w:rsidP="005F0EBD">
      <w:r>
        <w:separator/>
      </w:r>
    </w:p>
  </w:endnote>
  <w:endnote w:type="continuationSeparator" w:id="0">
    <w:p w14:paraId="5EF52600" w14:textId="77777777" w:rsidR="0030439C" w:rsidRDefault="0030439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FC6D" w14:textId="77777777" w:rsidR="0030439C" w:rsidRDefault="003043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3BC87AE0" w14:textId="77777777" w:rsidR="0030439C" w:rsidRDefault="004764E6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4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1EBB92" w14:textId="77777777" w:rsidR="0030439C" w:rsidRDefault="003043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677C" w14:textId="77777777" w:rsidR="0030439C" w:rsidRDefault="003043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9AAB" w14:textId="77777777" w:rsidR="0030439C" w:rsidRDefault="0030439C" w:rsidP="005F0EBD">
      <w:r>
        <w:separator/>
      </w:r>
    </w:p>
  </w:footnote>
  <w:footnote w:type="continuationSeparator" w:id="0">
    <w:p w14:paraId="1F7452D8" w14:textId="77777777" w:rsidR="0030439C" w:rsidRDefault="0030439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8733" w14:textId="77777777" w:rsidR="0030439C" w:rsidRDefault="0030439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3FF6" w14:textId="77777777" w:rsidR="0030439C" w:rsidRDefault="0030439C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9E76" w14:textId="77777777" w:rsidR="0030439C" w:rsidRDefault="0030439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037A7"/>
    <w:rsid w:val="00124C3C"/>
    <w:rsid w:val="00130EB5"/>
    <w:rsid w:val="0013403A"/>
    <w:rsid w:val="001B0467"/>
    <w:rsid w:val="001B3A68"/>
    <w:rsid w:val="001D1E34"/>
    <w:rsid w:val="001D2033"/>
    <w:rsid w:val="001D4DA1"/>
    <w:rsid w:val="00226DB5"/>
    <w:rsid w:val="00234172"/>
    <w:rsid w:val="00235D33"/>
    <w:rsid w:val="002727A5"/>
    <w:rsid w:val="00284A92"/>
    <w:rsid w:val="00295214"/>
    <w:rsid w:val="002A79B5"/>
    <w:rsid w:val="002C3FF7"/>
    <w:rsid w:val="002D552A"/>
    <w:rsid w:val="002E1EDB"/>
    <w:rsid w:val="002E4ECE"/>
    <w:rsid w:val="0030439C"/>
    <w:rsid w:val="003274CC"/>
    <w:rsid w:val="00397DF0"/>
    <w:rsid w:val="003C5607"/>
    <w:rsid w:val="003E3BDE"/>
    <w:rsid w:val="003F7AFA"/>
    <w:rsid w:val="004764E6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739A2"/>
    <w:rsid w:val="00686CD8"/>
    <w:rsid w:val="006C15FB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51FD6"/>
    <w:rsid w:val="00863774"/>
    <w:rsid w:val="00894D21"/>
    <w:rsid w:val="008A5E53"/>
    <w:rsid w:val="008C513B"/>
    <w:rsid w:val="00910619"/>
    <w:rsid w:val="00913DA8"/>
    <w:rsid w:val="00916F14"/>
    <w:rsid w:val="00941FAF"/>
    <w:rsid w:val="00964E4A"/>
    <w:rsid w:val="00974A46"/>
    <w:rsid w:val="009A07AF"/>
    <w:rsid w:val="00A23C32"/>
    <w:rsid w:val="00A328C4"/>
    <w:rsid w:val="00A7403F"/>
    <w:rsid w:val="00AD28F9"/>
    <w:rsid w:val="00AF6752"/>
    <w:rsid w:val="00B0740E"/>
    <w:rsid w:val="00B16DD2"/>
    <w:rsid w:val="00B31130"/>
    <w:rsid w:val="00B33D9D"/>
    <w:rsid w:val="00B433D1"/>
    <w:rsid w:val="00B544B8"/>
    <w:rsid w:val="00B664B8"/>
    <w:rsid w:val="00BE77C7"/>
    <w:rsid w:val="00C10186"/>
    <w:rsid w:val="00C207CB"/>
    <w:rsid w:val="00C51BBF"/>
    <w:rsid w:val="00C70CC4"/>
    <w:rsid w:val="00C83F77"/>
    <w:rsid w:val="00CB6680"/>
    <w:rsid w:val="00CD667A"/>
    <w:rsid w:val="00D3053C"/>
    <w:rsid w:val="00D400A0"/>
    <w:rsid w:val="00D527E0"/>
    <w:rsid w:val="00D76719"/>
    <w:rsid w:val="00D84CB7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C7508"/>
    <w:rsid w:val="00FE017D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6C75"/>
  <w15:docId w15:val="{12EDE4CA-B7D3-49F1-B110-80B6B2CF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customStyle="1" w:styleId="-">
    <w:name w:val="Интернет-ссылка"/>
    <w:rsid w:val="00851FD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631D70E8BE11F4A28409F4E7BD76C0EE9947F0288779688D176C4BAAC19510ED86D8E1F67957500AF47DA6D5B262B62F058BF39C43F579J9fB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19</cp:revision>
  <cp:lastPrinted>2019-07-03T08:20:00Z</cp:lastPrinted>
  <dcterms:created xsi:type="dcterms:W3CDTF">2019-04-29T07:26:00Z</dcterms:created>
  <dcterms:modified xsi:type="dcterms:W3CDTF">2022-04-01T13:00:00Z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