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6D45355C"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82166B">
        <w:rPr>
          <w:b/>
          <w:caps/>
          <w:sz w:val="24"/>
          <w:szCs w:val="24"/>
        </w:rPr>
        <w:t>5</w:t>
      </w:r>
      <w:r w:rsidR="00D616CC">
        <w:rPr>
          <w:b/>
          <w:caps/>
          <w:sz w:val="24"/>
          <w:szCs w:val="24"/>
        </w:rPr>
        <w:t>/25-</w:t>
      </w:r>
      <w:r w:rsidR="00035CAA">
        <w:rPr>
          <w:b/>
          <w:caps/>
          <w:sz w:val="24"/>
          <w:szCs w:val="24"/>
        </w:rPr>
        <w:t>1</w:t>
      </w:r>
      <w:r w:rsidR="000C46C7">
        <w:rPr>
          <w:b/>
          <w:caps/>
          <w:sz w:val="24"/>
          <w:szCs w:val="24"/>
        </w:rPr>
        <w:t>5</w:t>
      </w:r>
      <w:r w:rsidR="00011397">
        <w:rPr>
          <w:b/>
          <w:caps/>
          <w:sz w:val="24"/>
          <w:szCs w:val="24"/>
        </w:rPr>
        <w:t xml:space="preserve"> </w:t>
      </w:r>
      <w:r w:rsidR="008A79AF" w:rsidRPr="00446718">
        <w:rPr>
          <w:b/>
          <w:sz w:val="24"/>
          <w:szCs w:val="24"/>
        </w:rPr>
        <w:t xml:space="preserve">от </w:t>
      </w:r>
      <w:r w:rsidR="0082166B">
        <w:rPr>
          <w:b/>
          <w:sz w:val="24"/>
          <w:szCs w:val="24"/>
        </w:rPr>
        <w:t>26 ноября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7393298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C46C7">
        <w:rPr>
          <w:b/>
          <w:sz w:val="24"/>
          <w:szCs w:val="24"/>
        </w:rPr>
        <w:t>03-09</w:t>
      </w:r>
      <w:r w:rsidR="00AB300F">
        <w:rPr>
          <w:b/>
          <w:sz w:val="24"/>
          <w:szCs w:val="24"/>
        </w:rPr>
        <w:t>/25</w:t>
      </w:r>
      <w:r w:rsidR="008A79AF" w:rsidRPr="00446718">
        <w:rPr>
          <w:b/>
          <w:sz w:val="24"/>
          <w:szCs w:val="24"/>
        </w:rPr>
        <w:t xml:space="preserve"> в отношении адвоката </w:t>
      </w:r>
    </w:p>
    <w:p w14:paraId="18DEB482" w14:textId="05BACA9D" w:rsidR="008A79AF" w:rsidRPr="00ED7344" w:rsidRDefault="004C4698" w:rsidP="008A79AF">
      <w:pPr>
        <w:jc w:val="center"/>
        <w:rPr>
          <w:b/>
          <w:bCs/>
          <w:sz w:val="24"/>
          <w:szCs w:val="24"/>
        </w:rPr>
      </w:pPr>
      <w:r>
        <w:rPr>
          <w:b/>
          <w:sz w:val="24"/>
          <w:szCs w:val="24"/>
        </w:rPr>
        <w:t>К.О.В.</w:t>
      </w:r>
    </w:p>
    <w:p w14:paraId="32BF98D9" w14:textId="77777777" w:rsidR="008A79AF" w:rsidRPr="00A568DE" w:rsidRDefault="008A79AF" w:rsidP="008A79AF">
      <w:pPr>
        <w:jc w:val="center"/>
        <w:rPr>
          <w:b/>
          <w:sz w:val="16"/>
          <w:szCs w:val="16"/>
        </w:rPr>
      </w:pPr>
    </w:p>
    <w:p w14:paraId="7B578A74" w14:textId="78CD7542" w:rsidR="00857859" w:rsidRPr="00E42B00" w:rsidRDefault="00094A51" w:rsidP="00857859">
      <w:pPr>
        <w:ind w:firstLine="680"/>
        <w:jc w:val="both"/>
        <w:rPr>
          <w:sz w:val="24"/>
          <w:szCs w:val="24"/>
        </w:rPr>
      </w:pPr>
      <w:bookmarkStart w:id="0" w:name="_Hlk536610596"/>
      <w:bookmarkStart w:id="1" w:name="_Hlk536610482"/>
      <w:r w:rsidRPr="00094A51">
        <w:rPr>
          <w:sz w:val="24"/>
          <w:szCs w:val="24"/>
        </w:rPr>
        <w:t>На заседании Совета Адвокатской палаты Московской области (далее – «Совет») присутствуют члены Совета</w:t>
      </w:r>
      <w:bookmarkEnd w:id="0"/>
      <w:bookmarkEnd w:id="1"/>
      <w:r w:rsidRPr="00094A51">
        <w:rPr>
          <w:sz w:val="24"/>
          <w:szCs w:val="24"/>
        </w:rPr>
        <w:t>: Архангельский М.В., Галоганов А.П., Гонопольский Р.М., Ковалева Т.М.,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241E39CD"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C46C7">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C46C7">
        <w:rPr>
          <w:sz w:val="24"/>
          <w:szCs w:val="24"/>
        </w:rPr>
        <w:t>03-09</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6BE892AB" w:rsidR="00DA47A2" w:rsidRPr="00246A9A" w:rsidRDefault="00246A9A" w:rsidP="00246A9A">
      <w:pPr>
        <w:pStyle w:val="a8"/>
        <w:spacing w:after="0"/>
        <w:ind w:left="0"/>
        <w:jc w:val="both"/>
        <w:rPr>
          <w:sz w:val="24"/>
          <w:szCs w:val="24"/>
        </w:rPr>
      </w:pPr>
      <w:r>
        <w:rPr>
          <w:sz w:val="24"/>
          <w:szCs w:val="24"/>
        </w:rPr>
        <w:t xml:space="preserve">             </w:t>
      </w:r>
      <w:r w:rsidR="000C46C7" w:rsidRPr="000C46C7">
        <w:rPr>
          <w:sz w:val="24"/>
          <w:szCs w:val="24"/>
        </w:rPr>
        <w:t>20.08.2025г. в Адвокатскую палату Московской области поступило информационное письмо судьи Р</w:t>
      </w:r>
      <w:r w:rsidR="004C4698">
        <w:rPr>
          <w:sz w:val="24"/>
          <w:szCs w:val="24"/>
        </w:rPr>
        <w:t>.</w:t>
      </w:r>
      <w:r w:rsidR="000C46C7" w:rsidRPr="000C46C7">
        <w:rPr>
          <w:sz w:val="24"/>
          <w:szCs w:val="24"/>
        </w:rPr>
        <w:t xml:space="preserve"> гарнизонного военного суда К</w:t>
      </w:r>
      <w:r w:rsidR="004C4698">
        <w:rPr>
          <w:sz w:val="24"/>
          <w:szCs w:val="24"/>
        </w:rPr>
        <w:t>.</w:t>
      </w:r>
      <w:r w:rsidR="000C46C7" w:rsidRPr="000C46C7">
        <w:rPr>
          <w:sz w:val="24"/>
          <w:szCs w:val="24"/>
        </w:rPr>
        <w:t xml:space="preserve">А.В. в отношении адвоката </w:t>
      </w:r>
      <w:r w:rsidR="004C4698">
        <w:rPr>
          <w:sz w:val="24"/>
          <w:szCs w:val="24"/>
        </w:rPr>
        <w:t>К.О.В.</w:t>
      </w:r>
      <w:r w:rsidR="000C46C7" w:rsidRPr="000C46C7">
        <w:rPr>
          <w:sz w:val="24"/>
          <w:szCs w:val="24"/>
        </w:rPr>
        <w:t>, имеющей регистрационный номер</w:t>
      </w:r>
      <w:proofErr w:type="gramStart"/>
      <w:r w:rsidR="000C46C7" w:rsidRPr="000C46C7">
        <w:rPr>
          <w:sz w:val="24"/>
          <w:szCs w:val="24"/>
        </w:rPr>
        <w:t xml:space="preserve"> </w:t>
      </w:r>
      <w:r w:rsidR="004C4698">
        <w:rPr>
          <w:sz w:val="24"/>
          <w:szCs w:val="24"/>
        </w:rPr>
        <w:t>….</w:t>
      </w:r>
      <w:proofErr w:type="gramEnd"/>
      <w:r w:rsidR="004C4698">
        <w:rPr>
          <w:sz w:val="24"/>
          <w:szCs w:val="24"/>
        </w:rPr>
        <w:t>.</w:t>
      </w:r>
      <w:r w:rsidR="000C46C7" w:rsidRPr="000C46C7">
        <w:rPr>
          <w:sz w:val="24"/>
          <w:szCs w:val="24"/>
        </w:rPr>
        <w:t xml:space="preserve"> в реестре адвокатов Московской области, избранная форма адвокатского образования –</w:t>
      </w:r>
      <w:r w:rsidR="004C4698">
        <w:rPr>
          <w:sz w:val="24"/>
          <w:szCs w:val="24"/>
        </w:rPr>
        <w:t>…..</w:t>
      </w:r>
    </w:p>
    <w:p w14:paraId="26B0718E" w14:textId="0E8B2C62" w:rsidR="000C46C7" w:rsidRPr="000C46C7" w:rsidRDefault="009E7344" w:rsidP="000C46C7">
      <w:pPr>
        <w:tabs>
          <w:tab w:val="left" w:pos="567"/>
          <w:tab w:val="left" w:pos="31680"/>
        </w:tabs>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0C46C7" w:rsidRPr="000C46C7">
        <w:rPr>
          <w:sz w:val="24"/>
          <w:szCs w:val="24"/>
        </w:rPr>
        <w:t>адвокат, приняв поручение на защиту в порядке ст. 51 УПК РФ подсудимого О</w:t>
      </w:r>
      <w:r w:rsidR="004C4698">
        <w:rPr>
          <w:sz w:val="24"/>
          <w:szCs w:val="24"/>
        </w:rPr>
        <w:t>.</w:t>
      </w:r>
      <w:r w:rsidR="000C46C7" w:rsidRPr="000C46C7">
        <w:rPr>
          <w:sz w:val="24"/>
          <w:szCs w:val="24"/>
        </w:rPr>
        <w:t xml:space="preserve">С.Н., в судебном заседании 13 августа 2025 года заявила ходатайство об освобождении от участия в судебном заседании. После того как в удовлетворении ходатайства было отказано, адвокат самовольно покинула зал судебного заседания. Судья полагает, что с учётом принятия судом решения о «безотлагательном проведении судебного заседания» с участием защитника по назначению, «самовольном безосновательном отказе от участия в судебном разбирательстве» в действиях адвоката усматриваются признаки дисциплинарного проступка. </w:t>
      </w:r>
    </w:p>
    <w:p w14:paraId="149E1456" w14:textId="0561DDD4" w:rsidR="00A0419F" w:rsidRPr="00A0419F" w:rsidRDefault="000C46C7" w:rsidP="000C46C7">
      <w:pPr>
        <w:jc w:val="both"/>
        <w:rPr>
          <w:sz w:val="24"/>
          <w:szCs w:val="24"/>
        </w:rPr>
      </w:pPr>
      <w:r w:rsidRPr="000C46C7">
        <w:rPr>
          <w:sz w:val="24"/>
          <w:szCs w:val="24"/>
        </w:rPr>
        <w:tab/>
        <w:t>В обращении судья указывает, что адвокат совершила вышеуказанные действия «демонстративно», «в присутствии других участников судебного разбирательства», поэтому в таком поведении адвоката усматриваются признаки проявления неуважения к суду и умаления своими действиями авторитета суда. В обращении поставлен вопрос о привлечении адвоката к дисциплинарной ответственности. Также в обращении содержится просьба об обеспечении явки адвоката К</w:t>
      </w:r>
      <w:r w:rsidR="004C4698">
        <w:rPr>
          <w:sz w:val="24"/>
          <w:szCs w:val="24"/>
        </w:rPr>
        <w:t>.</w:t>
      </w:r>
      <w:r w:rsidRPr="000C46C7">
        <w:rPr>
          <w:sz w:val="24"/>
          <w:szCs w:val="24"/>
        </w:rPr>
        <w:t>О.В. в судебное заседание 20 августа 2025 года</w:t>
      </w:r>
      <w:r w:rsidR="00A0419F" w:rsidRPr="00A0419F">
        <w:rPr>
          <w:sz w:val="24"/>
          <w:szCs w:val="24"/>
        </w:rPr>
        <w:t>.</w:t>
      </w:r>
    </w:p>
    <w:p w14:paraId="14FC15B5" w14:textId="78596D72" w:rsidR="00425ABE" w:rsidRPr="00446718" w:rsidRDefault="002C28D7" w:rsidP="00612CCE">
      <w:pPr>
        <w:spacing w:line="274" w:lineRule="exact"/>
        <w:ind w:left="20" w:right="20"/>
        <w:jc w:val="both"/>
        <w:rPr>
          <w:sz w:val="24"/>
          <w:szCs w:val="24"/>
        </w:rPr>
      </w:pPr>
      <w:r>
        <w:rPr>
          <w:sz w:val="24"/>
          <w:szCs w:val="24"/>
        </w:rPr>
        <w:t xml:space="preserve">            </w:t>
      </w:r>
      <w:r w:rsidR="000C46C7">
        <w:rPr>
          <w:sz w:val="24"/>
          <w:szCs w:val="24"/>
        </w:rPr>
        <w:t>20</w:t>
      </w:r>
      <w:r w:rsidR="00A0419F">
        <w:rPr>
          <w:sz w:val="24"/>
          <w:szCs w:val="24"/>
        </w:rPr>
        <w:t>.08</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3E4B9FDC" w:rsidR="00425ABE" w:rsidRDefault="00DB79C1" w:rsidP="00425ABE">
      <w:pPr>
        <w:jc w:val="both"/>
        <w:rPr>
          <w:sz w:val="24"/>
          <w:szCs w:val="24"/>
        </w:rPr>
      </w:pPr>
      <w:r>
        <w:rPr>
          <w:sz w:val="24"/>
          <w:szCs w:val="24"/>
        </w:rPr>
        <w:t xml:space="preserve">            </w:t>
      </w:r>
      <w:r w:rsidR="000C46C7">
        <w:rPr>
          <w:sz w:val="24"/>
          <w:szCs w:val="24"/>
        </w:rPr>
        <w:t>02.09</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0C46C7">
        <w:rPr>
          <w:sz w:val="24"/>
          <w:szCs w:val="24"/>
        </w:rPr>
        <w:t>2980</w:t>
      </w:r>
      <w:r w:rsidR="00355CA0" w:rsidRPr="00A85A87">
        <w:rPr>
          <w:sz w:val="24"/>
          <w:szCs w:val="24"/>
        </w:rPr>
        <w:t xml:space="preserve"> о представлении объяснений по доводам </w:t>
      </w:r>
      <w:r w:rsidR="000C46C7">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w:t>
      </w:r>
      <w:r w:rsidR="00A0419F">
        <w:rPr>
          <w:sz w:val="24"/>
          <w:szCs w:val="24"/>
        </w:rPr>
        <w:t>а</w:t>
      </w:r>
      <w:r w:rsidR="0081306F">
        <w:rPr>
          <w:sz w:val="24"/>
          <w:szCs w:val="24"/>
        </w:rPr>
        <w:t xml:space="preserve"> возражает против доводов </w:t>
      </w:r>
      <w:r w:rsidR="000C46C7">
        <w:rPr>
          <w:sz w:val="24"/>
          <w:szCs w:val="24"/>
        </w:rPr>
        <w:t>обращения</w:t>
      </w:r>
      <w:r w:rsidR="00F31D9C">
        <w:rPr>
          <w:sz w:val="24"/>
          <w:szCs w:val="24"/>
        </w:rPr>
        <w:t>.</w:t>
      </w:r>
    </w:p>
    <w:p w14:paraId="2460952F" w14:textId="0400ABA8" w:rsidR="003249F7" w:rsidRDefault="003249F7" w:rsidP="00425ABE">
      <w:pPr>
        <w:jc w:val="both"/>
        <w:rPr>
          <w:sz w:val="24"/>
          <w:szCs w:val="24"/>
        </w:rPr>
      </w:pPr>
      <w:r>
        <w:rPr>
          <w:sz w:val="24"/>
          <w:szCs w:val="24"/>
        </w:rPr>
        <w:t xml:space="preserve">           </w:t>
      </w:r>
      <w:r w:rsidR="005034A9">
        <w:rPr>
          <w:sz w:val="24"/>
          <w:szCs w:val="24"/>
        </w:rPr>
        <w:t xml:space="preserve"> </w:t>
      </w:r>
      <w:r w:rsidR="00190A38">
        <w:rPr>
          <w:sz w:val="24"/>
          <w:szCs w:val="24"/>
        </w:rPr>
        <w:t>25</w:t>
      </w:r>
      <w:r w:rsidR="0082166B">
        <w:rPr>
          <w:sz w:val="24"/>
          <w:szCs w:val="24"/>
        </w:rPr>
        <w:t>.09</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0C46C7">
        <w:rPr>
          <w:sz w:val="24"/>
          <w:szCs w:val="24"/>
        </w:rPr>
        <w:t>не явился, уведомлен</w:t>
      </w:r>
      <w:r w:rsidR="00216A93">
        <w:rPr>
          <w:sz w:val="24"/>
          <w:szCs w:val="24"/>
        </w:rPr>
        <w:t xml:space="preserve">. </w:t>
      </w:r>
      <w:r w:rsidR="00DD30C5">
        <w:rPr>
          <w:sz w:val="24"/>
          <w:szCs w:val="24"/>
        </w:rPr>
        <w:t xml:space="preserve"> </w:t>
      </w:r>
    </w:p>
    <w:p w14:paraId="739A44B1" w14:textId="77777777" w:rsidR="000C46C7" w:rsidRDefault="003249F7" w:rsidP="00425ABE">
      <w:pPr>
        <w:jc w:val="both"/>
        <w:rPr>
          <w:sz w:val="24"/>
          <w:szCs w:val="24"/>
        </w:rPr>
      </w:pPr>
      <w:r>
        <w:rPr>
          <w:sz w:val="24"/>
          <w:szCs w:val="24"/>
        </w:rPr>
        <w:t xml:space="preserve">           </w:t>
      </w:r>
      <w:r w:rsidR="005034A9">
        <w:rPr>
          <w:sz w:val="24"/>
          <w:szCs w:val="24"/>
        </w:rPr>
        <w:t xml:space="preserve"> </w:t>
      </w:r>
      <w:r w:rsidR="00190A38">
        <w:rPr>
          <w:sz w:val="24"/>
          <w:szCs w:val="24"/>
        </w:rPr>
        <w:t>25</w:t>
      </w:r>
      <w:r w:rsidR="0082166B">
        <w:rPr>
          <w:sz w:val="24"/>
          <w:szCs w:val="24"/>
        </w:rPr>
        <w:t>.09</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A0419F">
        <w:rPr>
          <w:sz w:val="24"/>
          <w:szCs w:val="24"/>
        </w:rPr>
        <w:t xml:space="preserve">явилась, </w:t>
      </w:r>
      <w:r w:rsidR="000C46C7">
        <w:rPr>
          <w:sz w:val="24"/>
          <w:szCs w:val="24"/>
        </w:rPr>
        <w:t>поддержала доводы письменных объяснений</w:t>
      </w:r>
      <w:r w:rsidR="00F57B36">
        <w:rPr>
          <w:sz w:val="24"/>
          <w:szCs w:val="24"/>
        </w:rPr>
        <w:t>.</w:t>
      </w:r>
    </w:p>
    <w:p w14:paraId="2847E3F9" w14:textId="6EE649A9" w:rsidR="003249F7" w:rsidRDefault="000C46C7" w:rsidP="00425ABE">
      <w:pPr>
        <w:jc w:val="both"/>
        <w:rPr>
          <w:sz w:val="24"/>
          <w:szCs w:val="24"/>
        </w:rPr>
      </w:pPr>
      <w:r>
        <w:rPr>
          <w:sz w:val="24"/>
          <w:szCs w:val="24"/>
        </w:rPr>
        <w:t xml:space="preserve">            </w:t>
      </w:r>
      <w:r w:rsidRPr="002B5EC0">
        <w:rPr>
          <w:sz w:val="24"/>
        </w:rPr>
        <w:t>25.09.2025 г. свидетель</w:t>
      </w:r>
      <w:r>
        <w:rPr>
          <w:sz w:val="24"/>
        </w:rPr>
        <w:t xml:space="preserve"> - адвокат</w:t>
      </w:r>
      <w:r w:rsidRPr="002B5EC0">
        <w:rPr>
          <w:sz w:val="24"/>
        </w:rPr>
        <w:t xml:space="preserve"> О</w:t>
      </w:r>
      <w:r w:rsidR="004C4698">
        <w:rPr>
          <w:sz w:val="24"/>
        </w:rPr>
        <w:t>.</w:t>
      </w:r>
      <w:r w:rsidRPr="002B5EC0">
        <w:rPr>
          <w:sz w:val="24"/>
        </w:rPr>
        <w:t xml:space="preserve">Н.А. в заседании </w:t>
      </w:r>
      <w:r>
        <w:rPr>
          <w:sz w:val="24"/>
        </w:rPr>
        <w:t xml:space="preserve">Квалификационной </w:t>
      </w:r>
      <w:r w:rsidRPr="002B5EC0">
        <w:rPr>
          <w:sz w:val="24"/>
        </w:rPr>
        <w:t>комиссии поддержала доводы письменных объяснений адвоката и пояснила, что 05.08.2025 г. она не заявляла ходатайство об отложении в связи с ее уходом в отпуск</w:t>
      </w:r>
      <w:r>
        <w:rPr>
          <w:sz w:val="24"/>
        </w:rPr>
        <w:t>.</w:t>
      </w:r>
      <w:r w:rsidR="00F57B36">
        <w:rPr>
          <w:sz w:val="24"/>
          <w:szCs w:val="24"/>
        </w:rPr>
        <w:t xml:space="preserve"> </w:t>
      </w:r>
    </w:p>
    <w:p w14:paraId="69018E43" w14:textId="2D853FE7" w:rsidR="0055195B" w:rsidRPr="001C3DEE" w:rsidRDefault="00190A38" w:rsidP="004F09A4">
      <w:pPr>
        <w:pStyle w:val="aff"/>
        <w:ind w:firstLine="708"/>
        <w:jc w:val="both"/>
        <w:rPr>
          <w:szCs w:val="24"/>
        </w:rPr>
      </w:pPr>
      <w:r>
        <w:rPr>
          <w:szCs w:val="24"/>
        </w:rPr>
        <w:t>25</w:t>
      </w:r>
      <w:r w:rsidR="0082166B">
        <w:rPr>
          <w:szCs w:val="24"/>
        </w:rPr>
        <w:t>.09</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000C46C7">
        <w:rPr>
          <w:szCs w:val="24"/>
        </w:rPr>
        <w:t xml:space="preserve">о необходимости прекращения дисциплинарного производства в отношении адвоката </w:t>
      </w:r>
      <w:r w:rsidR="004C4698">
        <w:rPr>
          <w:rFonts w:eastAsia="Calibri"/>
          <w:szCs w:val="24"/>
        </w:rPr>
        <w:t>К.О.В.</w:t>
      </w:r>
      <w:r w:rsidR="000C46C7">
        <w:rPr>
          <w:szCs w:val="24"/>
        </w:rPr>
        <w:t xml:space="preserve"> ввиду отсутствия в ее действиях (бездействии) нарушения норм законодательства об адвокатской деятельности и адвокатуре и Кодекса профессиональной этики адвоката</w:t>
      </w:r>
      <w:r w:rsidR="007E56CB" w:rsidRPr="001C3DEE">
        <w:rPr>
          <w:szCs w:val="24"/>
        </w:rPr>
        <w:t>.</w:t>
      </w:r>
      <w:bookmarkEnd w:id="2"/>
    </w:p>
    <w:p w14:paraId="7BBB9320" w14:textId="77777777" w:rsidR="00A42243" w:rsidRPr="004C4698" w:rsidRDefault="00A42243" w:rsidP="00A42243">
      <w:pPr>
        <w:pStyle w:val="aa"/>
        <w:jc w:val="both"/>
        <w:rPr>
          <w:sz w:val="16"/>
          <w:szCs w:val="16"/>
        </w:rPr>
      </w:pPr>
    </w:p>
    <w:p w14:paraId="66083D51" w14:textId="197F656D" w:rsidR="00216A93" w:rsidRDefault="004F09A4" w:rsidP="00216A93">
      <w:pPr>
        <w:pStyle w:val="aa"/>
        <w:jc w:val="both"/>
        <w:rPr>
          <w:szCs w:val="24"/>
        </w:rPr>
      </w:pPr>
      <w:r>
        <w:rPr>
          <w:szCs w:val="24"/>
        </w:rPr>
        <w:t xml:space="preserve">            </w:t>
      </w:r>
      <w:r w:rsidR="009E7344">
        <w:rPr>
          <w:szCs w:val="24"/>
        </w:rPr>
        <w:t>От</w:t>
      </w:r>
      <w:r w:rsidR="00F57B36">
        <w:rPr>
          <w:szCs w:val="24"/>
        </w:rPr>
        <w:t xml:space="preserve"> заявителя несогласие с заключением Квалификационной комиссии</w:t>
      </w:r>
      <w:r w:rsidR="009E7344">
        <w:rPr>
          <w:szCs w:val="24"/>
        </w:rPr>
        <w:t xml:space="preserve"> не поступило.</w:t>
      </w:r>
    </w:p>
    <w:p w14:paraId="2EF87001" w14:textId="2AFB4766" w:rsidR="00A03C87" w:rsidRDefault="00A03C87" w:rsidP="00216A93">
      <w:pPr>
        <w:pStyle w:val="aa"/>
        <w:jc w:val="both"/>
        <w:rPr>
          <w:szCs w:val="24"/>
        </w:rPr>
      </w:pPr>
      <w:r>
        <w:rPr>
          <w:szCs w:val="24"/>
        </w:rPr>
        <w:lastRenderedPageBreak/>
        <w:t xml:space="preserve">            25.11.2025г. от адвоката поступило ходатайство о рассмотрении дисциплинарного производства </w:t>
      </w:r>
      <w:r w:rsidR="00CF7C59">
        <w:rPr>
          <w:szCs w:val="24"/>
        </w:rPr>
        <w:t>в</w:t>
      </w:r>
      <w:r>
        <w:rPr>
          <w:szCs w:val="24"/>
        </w:rPr>
        <w:t xml:space="preserve"> ее отсутствие в связи с занятостью в судебном процессе. </w:t>
      </w:r>
    </w:p>
    <w:p w14:paraId="65252EA8" w14:textId="77777777" w:rsidR="00581D79" w:rsidRPr="004C4698" w:rsidRDefault="00581D79" w:rsidP="00581D79">
      <w:pPr>
        <w:ind w:firstLine="708"/>
        <w:jc w:val="both"/>
        <w:rPr>
          <w:sz w:val="16"/>
          <w:szCs w:val="16"/>
          <w:lang w:eastAsia="en-US"/>
        </w:rPr>
      </w:pPr>
    </w:p>
    <w:p w14:paraId="5E7BC1E4" w14:textId="6D0B1A16" w:rsidR="00581D79" w:rsidRDefault="00581D79" w:rsidP="00581D79">
      <w:pPr>
        <w:jc w:val="both"/>
        <w:rPr>
          <w:sz w:val="24"/>
          <w:szCs w:val="24"/>
        </w:rPr>
      </w:pPr>
      <w:r>
        <w:rPr>
          <w:sz w:val="24"/>
          <w:szCs w:val="24"/>
          <w:lang w:eastAsia="en-US"/>
        </w:rPr>
        <w:t xml:space="preserve">            Заявител</w:t>
      </w:r>
      <w:r w:rsidR="00B57759">
        <w:rPr>
          <w:sz w:val="24"/>
          <w:szCs w:val="24"/>
          <w:lang w:eastAsia="en-US"/>
        </w:rPr>
        <w:t>ь</w:t>
      </w:r>
      <w:r w:rsidR="0082166B">
        <w:rPr>
          <w:sz w:val="24"/>
          <w:szCs w:val="24"/>
          <w:lang w:eastAsia="en-US"/>
        </w:rPr>
        <w:t xml:space="preserve"> в</w:t>
      </w:r>
      <w:r>
        <w:rPr>
          <w:sz w:val="24"/>
          <w:szCs w:val="24"/>
          <w:lang w:eastAsia="en-US"/>
        </w:rPr>
        <w:t xml:space="preserve"> заседание Совета</w:t>
      </w:r>
      <w:r w:rsidR="00732EBB">
        <w:rPr>
          <w:sz w:val="24"/>
          <w:szCs w:val="24"/>
          <w:lang w:eastAsia="en-US"/>
        </w:rPr>
        <w:t xml:space="preserve"> </w:t>
      </w:r>
      <w:r w:rsidR="000C46C7">
        <w:rPr>
          <w:sz w:val="24"/>
          <w:szCs w:val="24"/>
          <w:lang w:eastAsia="en-US"/>
        </w:rPr>
        <w:t>не явился, уведомлен</w:t>
      </w:r>
      <w:r w:rsidR="00A0419F">
        <w:rPr>
          <w:sz w:val="24"/>
          <w:szCs w:val="24"/>
          <w:lang w:eastAsia="en-US"/>
        </w:rPr>
        <w:t>.</w:t>
      </w:r>
      <w:r w:rsidR="00190A38">
        <w:rPr>
          <w:sz w:val="24"/>
          <w:szCs w:val="24"/>
          <w:lang w:eastAsia="en-US"/>
        </w:rPr>
        <w:t xml:space="preserve"> </w:t>
      </w:r>
    </w:p>
    <w:p w14:paraId="4CCA2005" w14:textId="33B927EE"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A0419F">
        <w:rPr>
          <w:sz w:val="24"/>
          <w:szCs w:val="24"/>
        </w:rPr>
        <w:t>не явилась, уведомлена.</w:t>
      </w:r>
    </w:p>
    <w:p w14:paraId="013B31A4" w14:textId="77777777" w:rsidR="00581D79" w:rsidRPr="004C4698" w:rsidRDefault="00581D79" w:rsidP="00581D79">
      <w:pPr>
        <w:ind w:firstLine="708"/>
        <w:jc w:val="both"/>
        <w:rPr>
          <w:sz w:val="16"/>
          <w:szCs w:val="16"/>
          <w:lang w:eastAsia="en-US"/>
        </w:rPr>
      </w:pPr>
    </w:p>
    <w:p w14:paraId="56EC218A" w14:textId="77777777" w:rsidR="00581D79" w:rsidRDefault="00581D79" w:rsidP="00581D79">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2123AAFE" w14:textId="06E89C97" w:rsidR="00040AA8" w:rsidRPr="00040AA8" w:rsidRDefault="00040AA8" w:rsidP="00040AA8">
      <w:pPr>
        <w:tabs>
          <w:tab w:val="left" w:pos="567"/>
          <w:tab w:val="left" w:pos="31680"/>
        </w:tabs>
        <w:jc w:val="both"/>
        <w:rPr>
          <w:sz w:val="24"/>
          <w:szCs w:val="24"/>
        </w:rPr>
      </w:pPr>
      <w:r>
        <w:rPr>
          <w:sz w:val="24"/>
          <w:szCs w:val="24"/>
          <w:lang w:eastAsia="en-US"/>
        </w:rPr>
        <w:tab/>
      </w:r>
      <w:r w:rsidRPr="00040AA8">
        <w:rPr>
          <w:sz w:val="24"/>
          <w:szCs w:val="24"/>
          <w:lang w:eastAsia="en-US"/>
        </w:rPr>
        <w:t xml:space="preserve">В ходе рассмотрения дисциплинарного производства установлено, что </w:t>
      </w:r>
      <w:r w:rsidRPr="00040AA8">
        <w:rPr>
          <w:sz w:val="24"/>
          <w:szCs w:val="24"/>
        </w:rPr>
        <w:t>участие в деле наряду с защитником по соглашению защитника по назначению допустимо лишь в том случае,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(определение) с приведением конкретных фактических обстоятельств, свидетельствующих о дезорганизации хода досудебного или судебного процесса. Процессуальное решение лица или органа, осуществляющего производство по уголовному делу, которым отклонен заявленный отказ от защитника по назначению, не содержащее таких мотивировки и обоснования, а принятое в порядке дискреции с одной лишь ссылкой на ч. 2 ст. 52 УПК РФ, не может как явно не соответствующее требованиям ч. 4 ст. 7 УПК РФ и позиции Конституционного Суда РФ служить законным и достаточным основанием для дублирования защитой по назначению защиты по соглашению и вынуждает назначенного защитника устраниться от участия в деле в соответствии с абзацем 1 данного пункта настоящего решения.</w:t>
      </w:r>
      <w:r w:rsidRPr="00040AA8">
        <w:rPr>
          <w:sz w:val="24"/>
          <w:szCs w:val="24"/>
          <w:lang w:val="en-US"/>
        </w:rPr>
        <w:t> </w:t>
      </w:r>
    </w:p>
    <w:p w14:paraId="0B8F4F61" w14:textId="30B87C3F" w:rsidR="00040AA8" w:rsidRPr="00040AA8" w:rsidRDefault="00040AA8" w:rsidP="00040AA8">
      <w:pPr>
        <w:tabs>
          <w:tab w:val="left" w:pos="567"/>
          <w:tab w:val="left" w:pos="31680"/>
        </w:tabs>
        <w:jc w:val="both"/>
        <w:rPr>
          <w:sz w:val="24"/>
          <w:szCs w:val="24"/>
        </w:rPr>
      </w:pPr>
      <w:r w:rsidRPr="00040AA8">
        <w:rPr>
          <w:sz w:val="24"/>
          <w:szCs w:val="24"/>
        </w:rPr>
        <w:tab/>
        <w:t>Кроме того, адвокат обращалась в Совет АПМО за разъяснением, в порядке, установленном п.4 ст.4 К</w:t>
      </w:r>
      <w:r w:rsidR="00367389">
        <w:rPr>
          <w:sz w:val="24"/>
          <w:szCs w:val="24"/>
        </w:rPr>
        <w:t>одекса профессиональной этики адвоката</w:t>
      </w:r>
      <w:r w:rsidRPr="00040AA8">
        <w:rPr>
          <w:sz w:val="24"/>
          <w:szCs w:val="24"/>
        </w:rPr>
        <w:t xml:space="preserve">. Разъяснением от 26.08.2025г. №2855 Совет АПМО указал адвокату, что, согласно п. 6.7 и 6.8 Правил АПМО по исполнению Порядка назначения адвокатов в качестве защитников в уголовном судопроизводстве (утв. решением Совета АПМО от 20.04.2022 г.), адвокат, вступивший в дело по назначению, должен предпринять необходимые меры для выяснения факта участия в деле другого адвоката. Адвокат, вступивший в дело по назначению, при установлении факта наличия в деле адвоката по соглашению и (или) назначению обязан самоустраниться из данного дела и ни при каких обстоятельствах не может быть источником нарушений права на защиту своего доверителя. </w:t>
      </w:r>
    </w:p>
    <w:p w14:paraId="53B58FA8" w14:textId="18CA7C57" w:rsidR="00040AA8" w:rsidRPr="00040AA8" w:rsidRDefault="00040AA8" w:rsidP="00040AA8">
      <w:pPr>
        <w:tabs>
          <w:tab w:val="left" w:pos="567"/>
          <w:tab w:val="left" w:pos="31680"/>
        </w:tabs>
        <w:jc w:val="both"/>
        <w:rPr>
          <w:sz w:val="24"/>
          <w:szCs w:val="24"/>
        </w:rPr>
      </w:pPr>
      <w:r w:rsidRPr="00040AA8">
        <w:rPr>
          <w:sz w:val="24"/>
          <w:szCs w:val="24"/>
        </w:rPr>
        <w:tab/>
        <w:t>Каких-либо объективных данных, позволяющих установить, что до принятого судом решения о назначении защитника подсудимый О</w:t>
      </w:r>
      <w:r w:rsidR="004C4698">
        <w:rPr>
          <w:sz w:val="24"/>
          <w:szCs w:val="24"/>
        </w:rPr>
        <w:t>.</w:t>
      </w:r>
      <w:r w:rsidRPr="00040AA8">
        <w:rPr>
          <w:sz w:val="24"/>
          <w:szCs w:val="24"/>
        </w:rPr>
        <w:t>С.Н. или его защитник О</w:t>
      </w:r>
      <w:r w:rsidR="004C4698">
        <w:rPr>
          <w:sz w:val="24"/>
          <w:szCs w:val="24"/>
        </w:rPr>
        <w:t>.</w:t>
      </w:r>
      <w:r w:rsidRPr="00040AA8">
        <w:rPr>
          <w:sz w:val="24"/>
          <w:szCs w:val="24"/>
        </w:rPr>
        <w:t xml:space="preserve">Н.А. злоупотребляли правом на защиту, и именно по этим основаниям судом было принято мотивированное решение о назначении защитника, Комиссии участниками дисциплинарного производства не представлено. </w:t>
      </w:r>
    </w:p>
    <w:p w14:paraId="12F706B2" w14:textId="41E18F8E" w:rsidR="00040AA8" w:rsidRPr="00040AA8" w:rsidRDefault="00040AA8" w:rsidP="00040AA8">
      <w:pPr>
        <w:tabs>
          <w:tab w:val="left" w:pos="567"/>
          <w:tab w:val="left" w:pos="31680"/>
        </w:tabs>
        <w:jc w:val="both"/>
        <w:rPr>
          <w:sz w:val="24"/>
          <w:szCs w:val="24"/>
        </w:rPr>
      </w:pPr>
      <w:r w:rsidRPr="00040AA8">
        <w:rPr>
          <w:sz w:val="24"/>
          <w:szCs w:val="24"/>
        </w:rPr>
        <w:tab/>
        <w:t>Исследованный в ходе заседания Совета протокол судебного заседания от 05.08.2025г. не свидетельствуют о каком-либо злоупотреблении правом на защиту как со стороны подсудимого, так и со стороны защитника О</w:t>
      </w:r>
      <w:r w:rsidR="004C4698">
        <w:rPr>
          <w:sz w:val="24"/>
          <w:szCs w:val="24"/>
        </w:rPr>
        <w:t>.</w:t>
      </w:r>
      <w:r w:rsidRPr="00040AA8">
        <w:rPr>
          <w:sz w:val="24"/>
          <w:szCs w:val="24"/>
        </w:rPr>
        <w:t xml:space="preserve">Н.А. </w:t>
      </w:r>
    </w:p>
    <w:p w14:paraId="642B0E33" w14:textId="59544869" w:rsidR="00040AA8" w:rsidRPr="00040AA8" w:rsidRDefault="00040AA8" w:rsidP="00040AA8">
      <w:pPr>
        <w:pStyle w:val="15"/>
        <w:spacing w:before="0" w:after="0"/>
        <w:jc w:val="both"/>
        <w:rPr>
          <w:rFonts w:eastAsia="Calibri"/>
          <w:lang w:val="ru-RU" w:eastAsia="ru-RU"/>
        </w:rPr>
      </w:pPr>
      <w:r w:rsidRPr="00040AA8">
        <w:rPr>
          <w:lang w:val="ru-RU"/>
        </w:rPr>
        <w:t xml:space="preserve"> </w:t>
      </w:r>
      <w:r w:rsidRPr="00040AA8">
        <w:rPr>
          <w:rFonts w:eastAsia="Calibri"/>
          <w:lang w:val="ru-RU" w:eastAsia="ru-RU"/>
        </w:rPr>
        <w:tab/>
        <w:t>Постановление суда от 13.08.2025 г. об отказе в удовлетворении ходатайства адвоката об освобождении от участия в деле, а также об отказе в принятии отказа подсудимого О</w:t>
      </w:r>
      <w:r w:rsidR="004C4698">
        <w:rPr>
          <w:rFonts w:eastAsia="Calibri"/>
          <w:lang w:val="ru-RU" w:eastAsia="ru-RU"/>
        </w:rPr>
        <w:t>.</w:t>
      </w:r>
      <w:r w:rsidRPr="00040AA8">
        <w:rPr>
          <w:rFonts w:eastAsia="Calibri"/>
          <w:lang w:val="ru-RU" w:eastAsia="ru-RU"/>
        </w:rPr>
        <w:t xml:space="preserve">С.Н. от защитника по назначению содержит следующее обоснование необходимости участия в деле защитника по назначению наряду с явившимся защитником по соглашению: </w:t>
      </w:r>
      <w:r w:rsidRPr="00367389">
        <w:rPr>
          <w:rFonts w:eastAsia="Calibri"/>
          <w:lang w:val="ru-RU" w:eastAsia="ru-RU"/>
        </w:rPr>
        <w:t>«с целью соблюдения права подсудимого О</w:t>
      </w:r>
      <w:r w:rsidR="004C4698">
        <w:rPr>
          <w:rFonts w:eastAsia="Calibri"/>
          <w:lang w:val="ru-RU" w:eastAsia="ru-RU"/>
        </w:rPr>
        <w:t>.</w:t>
      </w:r>
      <w:r w:rsidRPr="00367389">
        <w:rPr>
          <w:rFonts w:eastAsia="Calibri"/>
          <w:lang w:val="ru-RU" w:eastAsia="ru-RU"/>
        </w:rPr>
        <w:t>С.Н. на защиту и последующего возможного недопущения нарушения прав участников процесса»</w:t>
      </w:r>
      <w:r w:rsidRPr="00040AA8">
        <w:rPr>
          <w:rFonts w:eastAsia="Calibri"/>
          <w:lang w:val="ru-RU" w:eastAsia="ru-RU"/>
        </w:rPr>
        <w:t xml:space="preserve"> и не свидетельствует о наличии уже имевших место конкретных фактах злоупотребления подсудимым и/или его защитником правом на защиту, которые могли повлиять на принятие обоснованных решений как о назначении защитника «с целью соблюдения права на защиту подсудимого О</w:t>
      </w:r>
      <w:r w:rsidR="004C4698">
        <w:rPr>
          <w:rFonts w:eastAsia="Calibri"/>
          <w:lang w:val="ru-RU" w:eastAsia="ru-RU"/>
        </w:rPr>
        <w:t>.</w:t>
      </w:r>
      <w:r w:rsidRPr="00040AA8">
        <w:rPr>
          <w:rFonts w:eastAsia="Calibri"/>
          <w:lang w:val="ru-RU" w:eastAsia="ru-RU"/>
        </w:rPr>
        <w:t>С.Н., содержащегося под стражей, а также соблюдения разумных сроков рассмотрения уголовного дела», так и для отказа в удовлетворении заявления подсудимого об отказе от назначенного защитника.   Ссылка на «</w:t>
      </w:r>
      <w:r w:rsidRPr="00040AA8">
        <w:rPr>
          <w:rFonts w:eastAsia="Calibri"/>
          <w:i/>
          <w:iCs/>
          <w:lang w:val="ru-RU" w:eastAsia="ru-RU"/>
        </w:rPr>
        <w:t>возможную неявку</w:t>
      </w:r>
      <w:r w:rsidRPr="00040AA8">
        <w:rPr>
          <w:rFonts w:eastAsia="Calibri"/>
          <w:lang w:val="ru-RU" w:eastAsia="ru-RU"/>
        </w:rPr>
        <w:t xml:space="preserve">» защитника в постановлении от 13.08.2025г. </w:t>
      </w:r>
      <w:r w:rsidR="007531E7">
        <w:rPr>
          <w:rFonts w:eastAsia="Calibri"/>
          <w:lang w:val="ru-RU" w:eastAsia="ru-RU"/>
        </w:rPr>
        <w:t>является предположением суда и не может служить основанием привлечения адвоката в порядке ст.51 УПК РФ</w:t>
      </w:r>
      <w:r w:rsidRPr="00040AA8">
        <w:rPr>
          <w:rFonts w:eastAsia="Calibri"/>
          <w:lang w:val="ru-RU" w:eastAsia="ru-RU"/>
        </w:rPr>
        <w:t xml:space="preserve">.  </w:t>
      </w:r>
    </w:p>
    <w:p w14:paraId="47844385" w14:textId="3777AE4D" w:rsidR="00040AA8" w:rsidRPr="00040AA8" w:rsidRDefault="00040AA8" w:rsidP="00040AA8">
      <w:pPr>
        <w:pStyle w:val="15"/>
        <w:spacing w:before="0" w:after="0"/>
        <w:ind w:firstLine="708"/>
        <w:jc w:val="both"/>
        <w:rPr>
          <w:rFonts w:eastAsia="Calibri"/>
          <w:lang w:val="ru-RU" w:eastAsia="ru-RU"/>
        </w:rPr>
      </w:pPr>
      <w:r w:rsidRPr="00040AA8">
        <w:rPr>
          <w:rFonts w:eastAsia="Calibri"/>
          <w:lang w:val="ru-RU" w:eastAsia="ru-RU"/>
        </w:rPr>
        <w:t>Таким образом, п</w:t>
      </w:r>
      <w:r w:rsidRPr="00040AA8">
        <w:rPr>
          <w:lang w:val="ru-RU" w:eastAsia="ru-RU"/>
        </w:rPr>
        <w:t xml:space="preserve">ринимая решение покинуть зал судебного заседания при установленных в рамках дисциплинарного производства обстоятельствах, адвокат действовала в строгом </w:t>
      </w:r>
      <w:r w:rsidRPr="00040AA8">
        <w:rPr>
          <w:lang w:val="ru-RU" w:eastAsia="ru-RU"/>
        </w:rPr>
        <w:lastRenderedPageBreak/>
        <w:t xml:space="preserve">соответствии с разъяснениями Совета ФПА и действующими Правилами </w:t>
      </w:r>
      <w:r w:rsidRPr="00040AA8">
        <w:rPr>
          <w:lang w:val="ru-RU"/>
        </w:rPr>
        <w:t>АПМО по исполнению Порядка назначения адвокатов в качестве защитников в уголовном судопроизводстве (утв. решением Совета АПМО от 20.04.2022 г.)</w:t>
      </w:r>
      <w:r w:rsidRPr="00040AA8">
        <w:rPr>
          <w:lang w:val="ru-RU" w:eastAsia="ru-RU"/>
        </w:rPr>
        <w:t xml:space="preserve"> </w:t>
      </w:r>
    </w:p>
    <w:p w14:paraId="381F2B12" w14:textId="45D533F2" w:rsidR="00040AA8" w:rsidRPr="00040AA8" w:rsidRDefault="00040AA8" w:rsidP="00040AA8">
      <w:pPr>
        <w:tabs>
          <w:tab w:val="left" w:pos="567"/>
          <w:tab w:val="left" w:pos="31680"/>
        </w:tabs>
        <w:jc w:val="both"/>
        <w:rPr>
          <w:sz w:val="24"/>
          <w:szCs w:val="24"/>
        </w:rPr>
      </w:pPr>
      <w:r w:rsidRPr="00040AA8">
        <w:rPr>
          <w:sz w:val="24"/>
          <w:szCs w:val="24"/>
        </w:rPr>
        <w:tab/>
        <w:t>Конституционный суд РФ в Постановлении от 17 июля 2019 года № 28-П отмечал, что правоприменительная практика свидетельствует, что непринятие отказа подозреваемого, обвиняемого от назначенного ему защитника может быть продиктовано необходимостью обеспечить разумные сроки производства по делу, угроза нарушения которых вызвана злоупотреблением правом на защиту, когда процессуальное поведение подозреваемого, обвиняемого или приглашенного защитника, будучи недобросовестным, ущемляет конституционные права иных участников судопроизводства. По мнению С</w:t>
      </w:r>
      <w:r w:rsidR="00367389">
        <w:rPr>
          <w:sz w:val="24"/>
          <w:szCs w:val="24"/>
        </w:rPr>
        <w:t>К</w:t>
      </w:r>
      <w:r w:rsidRPr="00040AA8">
        <w:rPr>
          <w:sz w:val="24"/>
          <w:szCs w:val="24"/>
        </w:rPr>
        <w:t xml:space="preserve"> по уголовным делам ВС РФ, непринятие судом отказа подсудимого от назначенных защитников и одновременное участие по делу приглашенных и назначенных защитников могут быть - с учетом конкретных обстоятельств, характеризующих поведение обвиняемого и защитников, - признаны не противоречащими закону и не нарушающими право на защиту. Соответствующими обстоятельствами могут признаваться, в частности, сделанные неоднократно и без каких-либо оснований заявления о замене защитника, его неявка под разными предлогами в судебное заседание, т.е.</w:t>
      </w:r>
      <w:r w:rsidRPr="00040AA8">
        <w:rPr>
          <w:sz w:val="24"/>
          <w:szCs w:val="24"/>
          <w:lang w:val="en-US"/>
        </w:rPr>
        <w:t> </w:t>
      </w:r>
      <w:r w:rsidRPr="00040AA8">
        <w:rPr>
          <w:sz w:val="24"/>
          <w:szCs w:val="24"/>
        </w:rPr>
        <w:t>действия, явно направленные на воспрепятствование нормальному ходу судебного разбирательства и указывающие на злоупотребление правом (</w:t>
      </w:r>
      <w:hyperlink r:id="rId8" w:anchor="/document/70232734/entry/0" w:history="1">
        <w:r w:rsidRPr="00040AA8">
          <w:rPr>
            <w:rStyle w:val="ListLabel20"/>
          </w:rPr>
          <w:t>Определение</w:t>
        </w:r>
      </w:hyperlink>
      <w:r w:rsidRPr="00040AA8">
        <w:rPr>
          <w:sz w:val="24"/>
          <w:szCs w:val="24"/>
          <w:lang w:val="en-US"/>
        </w:rPr>
        <w:t> </w:t>
      </w:r>
      <w:r w:rsidRPr="00040AA8">
        <w:rPr>
          <w:sz w:val="24"/>
          <w:szCs w:val="24"/>
        </w:rPr>
        <w:t>от 25</w:t>
      </w:r>
      <w:r w:rsidR="00367389">
        <w:rPr>
          <w:sz w:val="24"/>
          <w:szCs w:val="24"/>
        </w:rPr>
        <w:t>.07.</w:t>
      </w:r>
      <w:r w:rsidRPr="00040AA8">
        <w:rPr>
          <w:sz w:val="24"/>
          <w:szCs w:val="24"/>
        </w:rPr>
        <w:t>2012</w:t>
      </w:r>
      <w:r w:rsidRPr="00040AA8">
        <w:rPr>
          <w:sz w:val="24"/>
          <w:szCs w:val="24"/>
          <w:lang w:val="en-US"/>
        </w:rPr>
        <w:t> </w:t>
      </w:r>
      <w:r w:rsidR="00367389">
        <w:rPr>
          <w:sz w:val="24"/>
          <w:szCs w:val="24"/>
        </w:rPr>
        <w:t>г.</w:t>
      </w:r>
      <w:r w:rsidRPr="00040AA8">
        <w:rPr>
          <w:sz w:val="24"/>
          <w:szCs w:val="24"/>
        </w:rPr>
        <w:t xml:space="preserve"> №</w:t>
      </w:r>
      <w:r w:rsidRPr="00040AA8">
        <w:rPr>
          <w:sz w:val="24"/>
          <w:szCs w:val="24"/>
          <w:lang w:val="en-US"/>
        </w:rPr>
        <w:t> </w:t>
      </w:r>
      <w:r w:rsidRPr="00040AA8">
        <w:rPr>
          <w:sz w:val="24"/>
          <w:szCs w:val="24"/>
        </w:rPr>
        <w:t>5-Д12-65).</w:t>
      </w:r>
    </w:p>
    <w:p w14:paraId="597DE79F" w14:textId="5C858099" w:rsidR="00040AA8" w:rsidRPr="00040AA8" w:rsidRDefault="00040AA8" w:rsidP="00040AA8">
      <w:pPr>
        <w:tabs>
          <w:tab w:val="left" w:pos="567"/>
          <w:tab w:val="left" w:pos="31680"/>
        </w:tabs>
        <w:jc w:val="both"/>
        <w:rPr>
          <w:sz w:val="24"/>
          <w:szCs w:val="24"/>
        </w:rPr>
      </w:pPr>
      <w:r w:rsidRPr="00040AA8">
        <w:rPr>
          <w:sz w:val="24"/>
          <w:szCs w:val="24"/>
        </w:rPr>
        <w:tab/>
        <w:t xml:space="preserve">Таким образом, для квалификации совершенных действий как злоупотребление правом на защиту необходимо, чтобы эти действия реально были совершены. При этом СК по уголовным делам ВС РФ указывает в том числе на неоднократный характер таких действий. Поэтому назначение защитника судом осуществлено при полном отсутствии каких-либо действий, которые могли быть оценены как злоупотребление правом на защиту и назначение защитника носит скорее «профилактический» характер. Подобное допущение позволяет по любому делу назначить защитника одновременно с принятием дела к производству, поскольку всегда можно предположить, что защитник по соглашению может заболеть, уйти в отпуск или ходатайствовать об отложении судебного разбирательства хотя бы и при наличии уважительных причин. </w:t>
      </w:r>
    </w:p>
    <w:p w14:paraId="4A81D683" w14:textId="0562BAB8" w:rsidR="00040AA8" w:rsidRPr="00040AA8" w:rsidRDefault="00040AA8" w:rsidP="00040AA8">
      <w:pPr>
        <w:tabs>
          <w:tab w:val="left" w:pos="567"/>
          <w:tab w:val="left" w:pos="1134"/>
          <w:tab w:val="left" w:pos="31680"/>
        </w:tabs>
        <w:jc w:val="both"/>
        <w:rPr>
          <w:sz w:val="24"/>
          <w:szCs w:val="24"/>
        </w:rPr>
      </w:pPr>
      <w:r w:rsidRPr="00040AA8">
        <w:rPr>
          <w:sz w:val="24"/>
          <w:szCs w:val="24"/>
        </w:rPr>
        <w:tab/>
        <w:t>Каких-либо признаков проявления неуважения к суду или умаления своими действиями авторитета суда в действиях адвоката не установлено. Устранение адвоката от защиты подсудимого О</w:t>
      </w:r>
      <w:r w:rsidR="004C4698">
        <w:rPr>
          <w:sz w:val="24"/>
          <w:szCs w:val="24"/>
        </w:rPr>
        <w:t>.</w:t>
      </w:r>
      <w:r w:rsidRPr="00040AA8">
        <w:rPr>
          <w:sz w:val="24"/>
          <w:szCs w:val="24"/>
        </w:rPr>
        <w:t>С.Н. являлось вынужденной мерой на немотивированное и безосновательное назначение защитника подсудимому при наличии у него защитника по соглашению, а обоснованное заявление обвиняемого О</w:t>
      </w:r>
      <w:r w:rsidR="004C4698">
        <w:rPr>
          <w:sz w:val="24"/>
          <w:szCs w:val="24"/>
        </w:rPr>
        <w:t>.</w:t>
      </w:r>
      <w:r w:rsidRPr="00040AA8">
        <w:rPr>
          <w:sz w:val="24"/>
          <w:szCs w:val="24"/>
        </w:rPr>
        <w:t>С.Н. было оставлено без удовлетворения при отсутствии в его поведении или в поведении приглашенного защитника признаков злоупотребления правом на защиту. При этом защитник О</w:t>
      </w:r>
      <w:r w:rsidR="004C4698">
        <w:rPr>
          <w:sz w:val="24"/>
          <w:szCs w:val="24"/>
        </w:rPr>
        <w:t>.</w:t>
      </w:r>
      <w:r w:rsidRPr="00040AA8">
        <w:rPr>
          <w:sz w:val="24"/>
          <w:szCs w:val="24"/>
        </w:rPr>
        <w:t xml:space="preserve">Н.А. присутствовала в зале судебного заседания 13.08.2025г. и осуществляла защиту подсудимого на основании соглашения. </w:t>
      </w:r>
    </w:p>
    <w:p w14:paraId="4AE4BC1C" w14:textId="5550E657" w:rsidR="00040AA8" w:rsidRPr="00040AA8" w:rsidRDefault="00040AA8" w:rsidP="00040AA8">
      <w:pPr>
        <w:tabs>
          <w:tab w:val="left" w:pos="567"/>
          <w:tab w:val="left" w:pos="1134"/>
          <w:tab w:val="left" w:pos="31680"/>
        </w:tabs>
        <w:jc w:val="both"/>
        <w:rPr>
          <w:sz w:val="24"/>
          <w:szCs w:val="24"/>
        </w:rPr>
      </w:pPr>
      <w:r w:rsidRPr="00040AA8">
        <w:rPr>
          <w:sz w:val="24"/>
          <w:szCs w:val="24"/>
        </w:rPr>
        <w:tab/>
        <w:t>Адвокат К</w:t>
      </w:r>
      <w:r w:rsidR="004C4698">
        <w:rPr>
          <w:sz w:val="24"/>
          <w:szCs w:val="24"/>
        </w:rPr>
        <w:t>.</w:t>
      </w:r>
      <w:r w:rsidRPr="00040AA8">
        <w:rPr>
          <w:sz w:val="24"/>
          <w:szCs w:val="24"/>
        </w:rPr>
        <w:t>О.В. действовала в строгом соответствии с разъяснениями Совета ФПА</w:t>
      </w:r>
      <w:r w:rsidR="00367389">
        <w:rPr>
          <w:sz w:val="24"/>
          <w:szCs w:val="24"/>
        </w:rPr>
        <w:t xml:space="preserve"> РФ</w:t>
      </w:r>
      <w:r w:rsidRPr="00040AA8">
        <w:rPr>
          <w:sz w:val="24"/>
          <w:szCs w:val="24"/>
        </w:rPr>
        <w:t xml:space="preserve">, предусматривающими в качестве правомерной реакции назначенного защитника на нарушение судом права подсудимого на защиту, незамедлительно устраниться от участия в деле. При этом несогласие председательствующего с обоснованным решением защитника покинуть зал судебного заседания не свидетельствует о том, что адвокат проявил при этом неуважение к суду или допустил умаление своими действиями авторитета суда. </w:t>
      </w:r>
    </w:p>
    <w:p w14:paraId="26A49745" w14:textId="75524AE1" w:rsidR="00581D79" w:rsidRPr="00446718" w:rsidRDefault="00581D79" w:rsidP="004C4698">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2AC226AB"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4C4698">
        <w:rPr>
          <w:sz w:val="24"/>
          <w:szCs w:val="24"/>
        </w:rPr>
        <w:t>К.О.В.</w:t>
      </w:r>
      <w:r w:rsidR="000C46C7" w:rsidRPr="000C46C7">
        <w:rPr>
          <w:sz w:val="24"/>
          <w:szCs w:val="24"/>
        </w:rPr>
        <w:t>, имеющей регистрационный номер</w:t>
      </w:r>
      <w:proofErr w:type="gramStart"/>
      <w:r w:rsidR="000C46C7" w:rsidRPr="000C46C7">
        <w:rPr>
          <w:sz w:val="24"/>
          <w:szCs w:val="24"/>
        </w:rPr>
        <w:t xml:space="preserve"> </w:t>
      </w:r>
      <w:r w:rsidR="004C4698">
        <w:rPr>
          <w:sz w:val="24"/>
          <w:szCs w:val="24"/>
        </w:rPr>
        <w:t>….</w:t>
      </w:r>
      <w:proofErr w:type="gramEnd"/>
      <w:r w:rsidR="004C4698">
        <w:rPr>
          <w:sz w:val="24"/>
          <w:szCs w:val="24"/>
        </w:rPr>
        <w:t>.</w:t>
      </w:r>
      <w:r w:rsidR="000C46C7" w:rsidRPr="000C46C7">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53752679" w14:textId="4A302B16" w:rsidR="00741638" w:rsidRPr="00FA6F49" w:rsidRDefault="00BE6873" w:rsidP="00E75B09">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sectPr w:rsidR="00741638" w:rsidRPr="00FA6F49" w:rsidSect="002A2495">
      <w:headerReference w:type="default" r:id="rId9"/>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3754" w14:textId="77777777" w:rsidR="0010741B" w:rsidRDefault="0010741B" w:rsidP="00C01A07">
      <w:r>
        <w:separator/>
      </w:r>
    </w:p>
  </w:endnote>
  <w:endnote w:type="continuationSeparator" w:id="0">
    <w:p w14:paraId="17FFE805" w14:textId="77777777" w:rsidR="0010741B" w:rsidRDefault="0010741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4055" w14:textId="77777777" w:rsidR="0010741B" w:rsidRDefault="0010741B" w:rsidP="00C01A07">
      <w:r>
        <w:separator/>
      </w:r>
    </w:p>
  </w:footnote>
  <w:footnote w:type="continuationSeparator" w:id="0">
    <w:p w14:paraId="37DBED87" w14:textId="77777777" w:rsidR="0010741B" w:rsidRDefault="0010741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5961695">
    <w:abstractNumId w:val="2"/>
  </w:num>
  <w:num w:numId="2" w16cid:durableId="2109812669">
    <w:abstractNumId w:val="12"/>
  </w:num>
  <w:num w:numId="3" w16cid:durableId="1621768216">
    <w:abstractNumId w:val="13"/>
  </w:num>
  <w:num w:numId="4" w16cid:durableId="846747103">
    <w:abstractNumId w:val="5"/>
  </w:num>
  <w:num w:numId="5" w16cid:durableId="1388070115">
    <w:abstractNumId w:val="8"/>
  </w:num>
  <w:num w:numId="6" w16cid:durableId="610478296">
    <w:abstractNumId w:val="4"/>
  </w:num>
  <w:num w:numId="7" w16cid:durableId="690111632">
    <w:abstractNumId w:val="6"/>
  </w:num>
  <w:num w:numId="8" w16cid:durableId="2052803719">
    <w:abstractNumId w:val="16"/>
  </w:num>
  <w:num w:numId="9" w16cid:durableId="1777748445">
    <w:abstractNumId w:val="14"/>
  </w:num>
  <w:num w:numId="10" w16cid:durableId="377899924">
    <w:abstractNumId w:val="15"/>
  </w:num>
  <w:num w:numId="11" w16cid:durableId="88433027">
    <w:abstractNumId w:val="9"/>
  </w:num>
  <w:num w:numId="12" w16cid:durableId="2008050312">
    <w:abstractNumId w:val="17"/>
  </w:num>
  <w:num w:numId="13" w16cid:durableId="563108054">
    <w:abstractNumId w:val="0"/>
  </w:num>
  <w:num w:numId="14" w16cid:durableId="1951430242">
    <w:abstractNumId w:val="7"/>
  </w:num>
  <w:num w:numId="15" w16cid:durableId="1952466534">
    <w:abstractNumId w:val="10"/>
  </w:num>
  <w:num w:numId="16" w16cid:durableId="842891063">
    <w:abstractNumId w:val="3"/>
  </w:num>
  <w:num w:numId="17" w16cid:durableId="1776364433">
    <w:abstractNumId w:val="11"/>
  </w:num>
  <w:num w:numId="18" w16cid:durableId="1497575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0AA8"/>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46C7"/>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41B"/>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67389"/>
    <w:rsid w:val="00372EEF"/>
    <w:rsid w:val="00373747"/>
    <w:rsid w:val="00374F27"/>
    <w:rsid w:val="00375044"/>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550A4"/>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698"/>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3A14"/>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1E7"/>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3C87"/>
    <w:rsid w:val="00A0419F"/>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226"/>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CF7C59"/>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5139"/>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character" w:customStyle="1" w:styleId="ListLabel20">
    <w:name w:val="ListLabel 20"/>
    <w:rsid w:val="00040AA8"/>
    <w:rPr>
      <w:rFonts w:ascii="Times New Roman" w:hAnsi="Times New Roman" w:cs="Times New Roman"/>
      <w:sz w:val="24"/>
      <w:szCs w:val="24"/>
      <w:lang w:eastAsia="ru-RU"/>
    </w:rPr>
  </w:style>
  <w:style w:type="paragraph" w:customStyle="1" w:styleId="15">
    <w:name w:val="Обычный (Интернет)1"/>
    <w:rsid w:val="00040AA8"/>
    <w:pPr>
      <w:suppressAutoHyphens/>
      <w:spacing w:before="280" w:after="2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05E7-71A0-4190-A6A3-97F4C7B5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1740</Words>
  <Characters>9923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2025-12-01T11:09:00Z</cp:lastPrinted>
  <dcterms:created xsi:type="dcterms:W3CDTF">2025-12-01T09:01:00Z</dcterms:created>
  <dcterms:modified xsi:type="dcterms:W3CDTF">2026-03-17T13:41:00Z</dcterms:modified>
</cp:coreProperties>
</file>