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354AE9">
        <w:rPr>
          <w:b w:val="0"/>
          <w:sz w:val="24"/>
          <w:szCs w:val="24"/>
        </w:rPr>
        <w:t>2</w:t>
      </w:r>
      <w:r w:rsidR="000F601D">
        <w:rPr>
          <w:b w:val="0"/>
          <w:sz w:val="24"/>
          <w:szCs w:val="24"/>
        </w:rPr>
        <w:t>9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1D4D17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1D4D17">
        <w:rPr>
          <w:b w:val="0"/>
          <w:sz w:val="24"/>
          <w:szCs w:val="24"/>
        </w:rPr>
        <w:t xml:space="preserve"> </w:t>
      </w:r>
      <w:r w:rsidR="005E75DF">
        <w:rPr>
          <w:b w:val="0"/>
          <w:sz w:val="24"/>
          <w:szCs w:val="24"/>
        </w:rPr>
        <w:t>Р.К.А.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5920E5">
        <w:t xml:space="preserve">                  </w:t>
      </w:r>
      <w:r w:rsidR="00000D3C" w:rsidRPr="00000D3C">
        <w:t>31 октября 2019 г.</w:t>
      </w:r>
    </w:p>
    <w:p w:rsidR="00000D3C" w:rsidRDefault="00000D3C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B53547">
        <w:rPr>
          <w:szCs w:val="24"/>
        </w:rPr>
        <w:t>Корнуковой</w:t>
      </w:r>
      <w:proofErr w:type="spellEnd"/>
      <w:r w:rsidR="00B53547"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1032C5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Pr="001032C5">
        <w:t xml:space="preserve">адвоката </w:t>
      </w:r>
      <w:r w:rsidR="005E75DF">
        <w:t>Р.</w:t>
      </w:r>
      <w:r w:rsidR="000F601D" w:rsidRPr="001032C5">
        <w:t>К.А.</w:t>
      </w:r>
      <w:r w:rsidR="004E1CC3" w:rsidRPr="001032C5">
        <w:t>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7A5629">
        <w:rPr>
          <w:sz w:val="24"/>
        </w:rPr>
        <w:t xml:space="preserve"> </w:t>
      </w:r>
      <w:r w:rsidR="000F601D">
        <w:rPr>
          <w:sz w:val="24"/>
        </w:rPr>
        <w:t>12.09</w:t>
      </w:r>
      <w:r w:rsidR="00865A96">
        <w:rPr>
          <w:sz w:val="24"/>
        </w:rPr>
        <w:t>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7A562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5E75DF">
        <w:rPr>
          <w:sz w:val="24"/>
          <w:szCs w:val="24"/>
        </w:rPr>
        <w:t>П.</w:t>
      </w:r>
      <w:r w:rsidR="000F601D">
        <w:rPr>
          <w:sz w:val="24"/>
          <w:szCs w:val="24"/>
        </w:rPr>
        <w:t>И.Б.</w:t>
      </w:r>
      <w:r w:rsidR="001D4D1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4D17">
        <w:rPr>
          <w:sz w:val="24"/>
        </w:rPr>
        <w:t xml:space="preserve"> </w:t>
      </w:r>
      <w:r w:rsidR="005E75DF">
        <w:rPr>
          <w:sz w:val="24"/>
        </w:rPr>
        <w:t>Р.</w:t>
      </w:r>
      <w:r w:rsidR="000F601D">
        <w:rPr>
          <w:sz w:val="24"/>
        </w:rPr>
        <w:t>К.А.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865A96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5E75DF">
        <w:rPr>
          <w:szCs w:val="24"/>
        </w:rPr>
        <w:t>П.</w:t>
      </w:r>
      <w:r w:rsidR="000F601D">
        <w:rPr>
          <w:szCs w:val="24"/>
        </w:rPr>
        <w:t>И.Б.</w:t>
      </w:r>
      <w:r w:rsidR="007A5629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1D4D17">
        <w:t xml:space="preserve"> </w:t>
      </w:r>
      <w:r w:rsidR="005E75DF">
        <w:t>Р.</w:t>
      </w:r>
      <w:r w:rsidR="000F601D">
        <w:t>К.А.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7A5629">
        <w:t xml:space="preserve"> </w:t>
      </w:r>
      <w:r w:rsidR="000F601D">
        <w:rPr>
          <w:szCs w:val="24"/>
        </w:rPr>
        <w:t>осуществлял</w:t>
      </w:r>
      <w:r w:rsidR="000F601D" w:rsidRPr="00A62F36">
        <w:rPr>
          <w:szCs w:val="24"/>
        </w:rPr>
        <w:t xml:space="preserve"> защиту заявителя по уголовному делу</w:t>
      </w:r>
      <w:r w:rsidR="00065FBD">
        <w:rPr>
          <w:szCs w:val="24"/>
        </w:rPr>
        <w:t>.</w:t>
      </w:r>
    </w:p>
    <w:p w:rsidR="00DB0334" w:rsidRDefault="006062B9" w:rsidP="000F601D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9F65DB">
        <w:rPr>
          <w:szCs w:val="24"/>
        </w:rPr>
        <w:t>вителя</w:t>
      </w:r>
      <w:r>
        <w:rPr>
          <w:szCs w:val="24"/>
        </w:rPr>
        <w:t xml:space="preserve">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9F65DB">
        <w:rPr>
          <w:szCs w:val="24"/>
        </w:rPr>
        <w:t xml:space="preserve">: </w:t>
      </w:r>
      <w:r w:rsidR="00B53547">
        <w:rPr>
          <w:szCs w:val="24"/>
        </w:rPr>
        <w:t>вступил</w:t>
      </w:r>
      <w:r w:rsidR="001D4D17">
        <w:rPr>
          <w:szCs w:val="24"/>
        </w:rPr>
        <w:t xml:space="preserve"> в уголовное дело как адвокат «рекомендованный дознавателем»</w:t>
      </w:r>
      <w:r w:rsidR="00B53547">
        <w:rPr>
          <w:szCs w:val="24"/>
        </w:rPr>
        <w:t xml:space="preserve">, </w:t>
      </w:r>
      <w:r w:rsidR="000F601D">
        <w:rPr>
          <w:szCs w:val="24"/>
        </w:rPr>
        <w:t>понуждал заявителя к заключению соглашения по ставке 300 долларов за час работы адвоката, совместно со следователем вынудил доверителя дать признательные показания, не разъяснил доверителю его права.</w:t>
      </w:r>
    </w:p>
    <w:p w:rsidR="005B0286" w:rsidRDefault="005B0286" w:rsidP="000F601D">
      <w:pPr>
        <w:ind w:firstLine="709"/>
        <w:jc w:val="both"/>
        <w:rPr>
          <w:szCs w:val="24"/>
        </w:rPr>
      </w:pPr>
      <w:r>
        <w:rPr>
          <w:szCs w:val="24"/>
        </w:rPr>
        <w:t>К жалобе доверителем документы не приложены.</w:t>
      </w:r>
    </w:p>
    <w:p w:rsidR="00865A96" w:rsidRDefault="006062B9" w:rsidP="00865A96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5B0286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5E75DF">
        <w:t>Р.</w:t>
      </w:r>
      <w:r w:rsidR="000F601D">
        <w:t>К.А.</w:t>
      </w:r>
      <w:r w:rsidR="002929BF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Pr="009F65DB" w:rsidRDefault="005B7097" w:rsidP="005B7097">
      <w:pPr>
        <w:pStyle w:val="a9"/>
        <w:ind w:firstLine="708"/>
        <w:jc w:val="both"/>
      </w:pPr>
      <w:r w:rsidRPr="009F65DB">
        <w:t>Комиссией был направлен запрос адвокату о предоставлении письменных объяснений и документов по доводам обращения.</w:t>
      </w:r>
    </w:p>
    <w:p w:rsidR="0073431F" w:rsidRDefault="005B7097" w:rsidP="0073431F">
      <w:pPr>
        <w:pStyle w:val="a9"/>
        <w:ind w:firstLine="708"/>
        <w:jc w:val="both"/>
        <w:rPr>
          <w:szCs w:val="24"/>
        </w:rPr>
      </w:pPr>
      <w:r w:rsidRPr="009F65DB">
        <w:t xml:space="preserve">Адвокат в </w:t>
      </w:r>
      <w:r w:rsidR="009F65DB">
        <w:t>письменных объяснениях возражал</w:t>
      </w:r>
      <w:r w:rsidR="002929BF">
        <w:t xml:space="preserve"> </w:t>
      </w:r>
      <w:r w:rsidR="009F65DB">
        <w:t>против доводов жалобы и пояснил</w:t>
      </w:r>
      <w:r w:rsidRPr="009F65DB">
        <w:t xml:space="preserve">, что </w:t>
      </w:r>
      <w:r w:rsidR="0073431F">
        <w:t xml:space="preserve">осуществлял защиту заявителя на основании соглашения, а не в порядке ст. 51 УПК РФ. Он прибыл </w:t>
      </w:r>
      <w:r w:rsidR="0073431F">
        <w:rPr>
          <w:szCs w:val="24"/>
        </w:rPr>
        <w:t xml:space="preserve">к месту производства следственных действий (отдел дознания </w:t>
      </w:r>
      <w:r w:rsidR="005E75DF">
        <w:rPr>
          <w:szCs w:val="24"/>
        </w:rPr>
        <w:t>Х</w:t>
      </w:r>
      <w:r w:rsidR="0073431F">
        <w:rPr>
          <w:szCs w:val="24"/>
        </w:rPr>
        <w:t>) в первом часу ночи 07 февраля 2019 года. После знакомства с заявителем тот устно подтвердил согласие заключить с адвокатом соглашение на стадию предварительного следствия, но согласование суммы</w:t>
      </w:r>
      <w:r w:rsidR="005B0286">
        <w:rPr>
          <w:szCs w:val="24"/>
        </w:rPr>
        <w:t xml:space="preserve"> и иных условий</w:t>
      </w:r>
      <w:r w:rsidR="0073431F">
        <w:rPr>
          <w:szCs w:val="24"/>
        </w:rPr>
        <w:t xml:space="preserve"> соглашения предложил отложить на более позднее время.</w:t>
      </w:r>
    </w:p>
    <w:p w:rsidR="0073431F" w:rsidRDefault="0073431F" w:rsidP="0073431F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Исходя из согласия доверителя, далее адвокат принял участие в следственных действиях, при этом разъяснял доверителю его права, давал комментарии к составу преступления, в совершении которого он подозревается, рассказал о судебной практике по данной категории дел. Фактов давления на заявителя для дачи признательных показаний не было.</w:t>
      </w:r>
    </w:p>
    <w:p w:rsidR="0073431F" w:rsidRPr="005B0286" w:rsidRDefault="0073431F" w:rsidP="005B028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На судебном заседании 08 февраля 2019 года по избранию доверителю меры пресечения в виде заключения под стражу адвокат также осуществлял его</w:t>
      </w:r>
      <w:r w:rsidR="00065FBD">
        <w:rPr>
          <w:szCs w:val="24"/>
        </w:rPr>
        <w:t xml:space="preserve"> защиту</w:t>
      </w:r>
      <w:r>
        <w:rPr>
          <w:szCs w:val="24"/>
        </w:rPr>
        <w:t>. 11 февраля 2019 года он подал апелляционную жалобу на постановление об избрании меры пресечения доверителю, после чего ему поступила информацию от родственников заявителя об отказе от его услуг.</w:t>
      </w:r>
    </w:p>
    <w:p w:rsidR="005B7097" w:rsidRPr="009F65DB" w:rsidRDefault="005B7097" w:rsidP="005B7097">
      <w:pPr>
        <w:pStyle w:val="a9"/>
        <w:ind w:firstLine="708"/>
        <w:jc w:val="both"/>
      </w:pPr>
      <w:r w:rsidRPr="009F65DB">
        <w:t>К письменным объяснениям адвоката приложены копии следующих документов:</w:t>
      </w:r>
    </w:p>
    <w:p w:rsidR="00826436" w:rsidRPr="00826436" w:rsidRDefault="00826436" w:rsidP="00826436">
      <w:pPr>
        <w:pStyle w:val="ac"/>
        <w:numPr>
          <w:ilvl w:val="0"/>
          <w:numId w:val="18"/>
        </w:numPr>
        <w:jc w:val="both"/>
        <w:rPr>
          <w:szCs w:val="24"/>
        </w:rPr>
      </w:pPr>
      <w:r w:rsidRPr="00826436">
        <w:rPr>
          <w:szCs w:val="24"/>
        </w:rPr>
        <w:lastRenderedPageBreak/>
        <w:t>ордер;</w:t>
      </w:r>
    </w:p>
    <w:p w:rsidR="00826436" w:rsidRPr="00826436" w:rsidRDefault="00826436" w:rsidP="00826436">
      <w:pPr>
        <w:pStyle w:val="ac"/>
        <w:numPr>
          <w:ilvl w:val="0"/>
          <w:numId w:val="18"/>
        </w:numPr>
        <w:jc w:val="both"/>
        <w:rPr>
          <w:szCs w:val="24"/>
        </w:rPr>
      </w:pPr>
      <w:r w:rsidRPr="00826436">
        <w:rPr>
          <w:szCs w:val="24"/>
        </w:rPr>
        <w:t xml:space="preserve">протокол разъяснения прав </w:t>
      </w:r>
      <w:proofErr w:type="gramStart"/>
      <w:r w:rsidRPr="00826436">
        <w:rPr>
          <w:szCs w:val="24"/>
        </w:rPr>
        <w:t>подозреваемому</w:t>
      </w:r>
      <w:proofErr w:type="gramEnd"/>
      <w:r w:rsidRPr="00826436">
        <w:rPr>
          <w:szCs w:val="24"/>
        </w:rPr>
        <w:t>;</w:t>
      </w:r>
    </w:p>
    <w:p w:rsidR="00826436" w:rsidRPr="00826436" w:rsidRDefault="00826436" w:rsidP="00826436">
      <w:pPr>
        <w:pStyle w:val="ac"/>
        <w:numPr>
          <w:ilvl w:val="0"/>
          <w:numId w:val="18"/>
        </w:numPr>
        <w:jc w:val="both"/>
        <w:rPr>
          <w:szCs w:val="24"/>
        </w:rPr>
      </w:pPr>
      <w:r w:rsidRPr="00826436">
        <w:rPr>
          <w:szCs w:val="24"/>
        </w:rPr>
        <w:t>протоко</w:t>
      </w:r>
      <w:r w:rsidR="005B0286">
        <w:rPr>
          <w:szCs w:val="24"/>
        </w:rPr>
        <w:t>л</w:t>
      </w:r>
      <w:r w:rsidRPr="00826436">
        <w:rPr>
          <w:szCs w:val="24"/>
        </w:rPr>
        <w:t xml:space="preserve"> допроса подозреваемого;</w:t>
      </w:r>
    </w:p>
    <w:p w:rsidR="00826436" w:rsidRPr="00826436" w:rsidRDefault="00826436" w:rsidP="00826436">
      <w:pPr>
        <w:pStyle w:val="ac"/>
        <w:numPr>
          <w:ilvl w:val="0"/>
          <w:numId w:val="18"/>
        </w:numPr>
        <w:jc w:val="both"/>
        <w:rPr>
          <w:szCs w:val="24"/>
        </w:rPr>
      </w:pPr>
      <w:r w:rsidRPr="00826436">
        <w:rPr>
          <w:szCs w:val="24"/>
        </w:rPr>
        <w:t>постановлени</w:t>
      </w:r>
      <w:r w:rsidR="005B0286">
        <w:rPr>
          <w:szCs w:val="24"/>
        </w:rPr>
        <w:t>е</w:t>
      </w:r>
      <w:r w:rsidRPr="00826436">
        <w:rPr>
          <w:szCs w:val="24"/>
        </w:rPr>
        <w:t xml:space="preserve"> об избрании меры пресечения;</w:t>
      </w:r>
    </w:p>
    <w:p w:rsidR="005B7097" w:rsidRPr="00826436" w:rsidRDefault="00826436" w:rsidP="00826436">
      <w:pPr>
        <w:pStyle w:val="ac"/>
        <w:numPr>
          <w:ilvl w:val="0"/>
          <w:numId w:val="18"/>
        </w:numPr>
        <w:jc w:val="both"/>
        <w:rPr>
          <w:szCs w:val="24"/>
        </w:rPr>
      </w:pPr>
      <w:r w:rsidRPr="00826436">
        <w:rPr>
          <w:szCs w:val="24"/>
        </w:rPr>
        <w:t>апелляционн</w:t>
      </w:r>
      <w:r w:rsidR="005B0286">
        <w:rPr>
          <w:szCs w:val="24"/>
        </w:rPr>
        <w:t>ая</w:t>
      </w:r>
      <w:r w:rsidRPr="00826436">
        <w:rPr>
          <w:szCs w:val="24"/>
        </w:rPr>
        <w:t xml:space="preserve"> жалоб</w:t>
      </w:r>
      <w:r w:rsidR="005B0286">
        <w:rPr>
          <w:szCs w:val="24"/>
        </w:rPr>
        <w:t>а</w:t>
      </w:r>
      <w:r w:rsidRPr="00826436">
        <w:rPr>
          <w:szCs w:val="24"/>
        </w:rPr>
        <w:t xml:space="preserve"> с отметкой суда о получении.</w:t>
      </w:r>
    </w:p>
    <w:p w:rsidR="005B7097" w:rsidRPr="008E4D76" w:rsidRDefault="005B7097" w:rsidP="005B7097">
      <w:pPr>
        <w:pStyle w:val="a9"/>
        <w:ind w:firstLine="708"/>
        <w:jc w:val="both"/>
      </w:pPr>
      <w:proofErr w:type="gramStart"/>
      <w:r w:rsidRPr="008E4D76">
        <w:t>В засед</w:t>
      </w:r>
      <w:r w:rsidR="009F65DB" w:rsidRPr="008E4D76">
        <w:t>ании комиссии адвокат поддержал</w:t>
      </w:r>
      <w:r w:rsidR="008E4D76" w:rsidRPr="008E4D76">
        <w:t xml:space="preserve"> доводы письменных объяснений и пояснил, что считает, что</w:t>
      </w:r>
      <w:r w:rsidR="008E4D76">
        <w:t xml:space="preserve"> факт заключения соглашения подтверждается надписью подзащитного на протоколе допроса прав подозреваемого</w:t>
      </w:r>
      <w:r w:rsidR="005B0286">
        <w:t xml:space="preserve"> о том, что он не возражает против осуществления его защиты адвокатом </w:t>
      </w:r>
      <w:r w:rsidR="005E75DF">
        <w:t>Р.</w:t>
      </w:r>
      <w:r w:rsidR="005B0286">
        <w:t>К.А</w:t>
      </w:r>
      <w:r w:rsidR="008E4D76">
        <w:t xml:space="preserve">. </w:t>
      </w:r>
      <w:r w:rsidR="005B0286">
        <w:t>На вопрос комиссии о том, как адвокату стало известно о проведении следственных действий в отношении заявителя адвокат пояснил, что о</w:t>
      </w:r>
      <w:r w:rsidR="008E4D76">
        <w:t>н выехал в</w:t>
      </w:r>
      <w:proofErr w:type="gramEnd"/>
      <w:r w:rsidR="008E4D76">
        <w:t xml:space="preserve"> отдел полиции ночью по звонку неизвестного ему лица.</w:t>
      </w:r>
    </w:p>
    <w:p w:rsidR="005B7097" w:rsidRPr="009F65DB" w:rsidRDefault="0081298B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 xml:space="preserve">Заявитель </w:t>
      </w:r>
      <w:r>
        <w:rPr>
          <w:color w:val="auto"/>
          <w:szCs w:val="24"/>
        </w:rPr>
        <w:t>извещен</w:t>
      </w:r>
      <w:r w:rsidR="005B7097" w:rsidRPr="009F65DB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9F65DB">
        <w:rPr>
          <w:color w:val="auto"/>
          <w:szCs w:val="24"/>
        </w:rPr>
        <w:t xml:space="preserve">, в </w:t>
      </w:r>
      <w:proofErr w:type="gramStart"/>
      <w:r w:rsidR="005B7097" w:rsidRPr="009F65DB">
        <w:rPr>
          <w:color w:val="auto"/>
          <w:szCs w:val="24"/>
        </w:rPr>
        <w:t>связи</w:t>
      </w:r>
      <w:proofErr w:type="gramEnd"/>
      <w:r w:rsidR="005B7097" w:rsidRPr="009F65DB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5B7097" w:rsidRPr="009F65DB">
        <w:rPr>
          <w:color w:val="auto"/>
          <w:szCs w:val="24"/>
        </w:rPr>
        <w:t xml:space="preserve"> отсутствие.</w:t>
      </w:r>
    </w:p>
    <w:p w:rsidR="009F65DB" w:rsidRPr="005B0286" w:rsidRDefault="005B7097" w:rsidP="005B0286">
      <w:pPr>
        <w:jc w:val="both"/>
        <w:rPr>
          <w:color w:val="auto"/>
          <w:szCs w:val="24"/>
        </w:rPr>
      </w:pPr>
      <w:r w:rsidRPr="009F65DB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5B7097" w:rsidRPr="005B0286" w:rsidRDefault="001D4D17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5E75DF">
        <w:rPr>
          <w:color w:val="auto"/>
        </w:rPr>
        <w:t>Р.</w:t>
      </w:r>
      <w:r>
        <w:rPr>
          <w:color w:val="auto"/>
        </w:rPr>
        <w:t xml:space="preserve">К.А. </w:t>
      </w:r>
      <w:r w:rsidR="005B0286" w:rsidRPr="005B0286">
        <w:rPr>
          <w:color w:val="auto"/>
        </w:rPr>
        <w:t>осуществлял защиту заявителя по уголовному делу</w:t>
      </w:r>
      <w:r>
        <w:rPr>
          <w:color w:val="auto"/>
        </w:rPr>
        <w:t xml:space="preserve"> </w:t>
      </w:r>
      <w:r w:rsidR="005B0286" w:rsidRPr="005B0286">
        <w:rPr>
          <w:color w:val="auto"/>
        </w:rPr>
        <w:t>на стадии предварительного следствия.</w:t>
      </w:r>
    </w:p>
    <w:p w:rsidR="005B7097" w:rsidRPr="005B0286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5B0286">
        <w:rPr>
          <w:color w:val="auto"/>
          <w:szCs w:val="24"/>
        </w:rPr>
        <w:t xml:space="preserve">В силу </w:t>
      </w:r>
      <w:proofErr w:type="spellStart"/>
      <w:r w:rsidRPr="005B0286">
        <w:rPr>
          <w:color w:val="auto"/>
          <w:szCs w:val="24"/>
        </w:rPr>
        <w:t>п.п</w:t>
      </w:r>
      <w:proofErr w:type="spellEnd"/>
      <w:r w:rsidRPr="005B028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B7097" w:rsidRPr="005B02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5B0286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5B0286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7A5629" w:rsidRPr="005B0286">
        <w:rPr>
          <w:rFonts w:eastAsia="Calibri"/>
          <w:color w:val="auto"/>
          <w:szCs w:val="24"/>
        </w:rPr>
        <w:t>и непротиворечивыми</w:t>
      </w:r>
      <w:r w:rsidRPr="005B0286">
        <w:rPr>
          <w:rFonts w:eastAsia="Calibri"/>
          <w:color w:val="auto"/>
          <w:szCs w:val="24"/>
        </w:rPr>
        <w:t xml:space="preserve"> доказательствами. </w:t>
      </w:r>
    </w:p>
    <w:p w:rsidR="00DF7F48" w:rsidRDefault="005B0286" w:rsidP="000930BA">
      <w:pPr>
        <w:ind w:firstLine="720"/>
        <w:jc w:val="both"/>
        <w:rPr>
          <w:color w:val="auto"/>
          <w:szCs w:val="24"/>
        </w:rPr>
      </w:pPr>
      <w:r w:rsidRPr="005B0286">
        <w:rPr>
          <w:color w:val="auto"/>
          <w:szCs w:val="24"/>
        </w:rPr>
        <w:t>Комиссией уста</w:t>
      </w:r>
      <w:r w:rsidR="001D4D17">
        <w:rPr>
          <w:color w:val="auto"/>
          <w:szCs w:val="24"/>
        </w:rPr>
        <w:t>новлено, что адвокат в период с</w:t>
      </w:r>
      <w:r w:rsidR="00DF7F48">
        <w:rPr>
          <w:color w:val="auto"/>
          <w:szCs w:val="24"/>
        </w:rPr>
        <w:t xml:space="preserve"> 06</w:t>
      </w:r>
      <w:r w:rsidR="001D4D17">
        <w:rPr>
          <w:color w:val="auto"/>
          <w:szCs w:val="24"/>
        </w:rPr>
        <w:t xml:space="preserve">.02.2019 г. по 11.02.2019 г. осуществлял защиту заявителя по уголовному делу, в </w:t>
      </w:r>
      <w:proofErr w:type="spellStart"/>
      <w:r w:rsidR="001D4D17">
        <w:rPr>
          <w:color w:val="auto"/>
          <w:szCs w:val="24"/>
        </w:rPr>
        <w:t>т.ч</w:t>
      </w:r>
      <w:proofErr w:type="spellEnd"/>
      <w:r w:rsidR="001D4D17">
        <w:rPr>
          <w:color w:val="auto"/>
          <w:szCs w:val="24"/>
        </w:rPr>
        <w:t xml:space="preserve">. </w:t>
      </w:r>
      <w:r w:rsidR="00DF7F48">
        <w:rPr>
          <w:color w:val="auto"/>
          <w:szCs w:val="24"/>
        </w:rPr>
        <w:t>при допросе подозреваемого и в судебном заседании при избрании меры пресечения 08</w:t>
      </w:r>
      <w:r w:rsidR="003333B7">
        <w:rPr>
          <w:color w:val="auto"/>
          <w:szCs w:val="24"/>
        </w:rPr>
        <w:t>.02.2019 г.</w:t>
      </w:r>
    </w:p>
    <w:p w:rsidR="000930BA" w:rsidRPr="000930BA" w:rsidRDefault="005B0286" w:rsidP="000930BA">
      <w:pPr>
        <w:ind w:firstLine="720"/>
        <w:jc w:val="both"/>
        <w:rPr>
          <w:color w:val="auto"/>
          <w:szCs w:val="24"/>
        </w:rPr>
      </w:pPr>
      <w:r w:rsidRPr="005B0286">
        <w:rPr>
          <w:color w:val="auto"/>
          <w:szCs w:val="24"/>
        </w:rPr>
        <w:t>При этом комиссия критически относится к утверждениям адвоката о том, что он принял поручение на защиту на основании «устного» соглашения с доверителем, а впоследствии не имел возможности оформить соглашение с заявителем, поскольку</w:t>
      </w:r>
      <w:r w:rsidR="005D18E3">
        <w:rPr>
          <w:color w:val="auto"/>
          <w:szCs w:val="24"/>
        </w:rPr>
        <w:t xml:space="preserve"> </w:t>
      </w:r>
      <w:r w:rsidR="000930BA" w:rsidRPr="000930BA">
        <w:rPr>
          <w:color w:val="auto"/>
          <w:szCs w:val="24"/>
        </w:rPr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</w:t>
      </w:r>
      <w:proofErr w:type="spellStart"/>
      <w:r w:rsidR="000930BA" w:rsidRPr="000930BA">
        <w:rPr>
          <w:color w:val="auto"/>
          <w:szCs w:val="24"/>
        </w:rPr>
        <w:t>п.п</w:t>
      </w:r>
      <w:proofErr w:type="spellEnd"/>
      <w:r w:rsidR="000930BA" w:rsidRPr="000930B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  <w:proofErr w:type="gramStart"/>
      <w:r w:rsidRPr="000930BA">
        <w:rPr>
          <w:color w:val="auto"/>
          <w:szCs w:val="24"/>
        </w:rPr>
        <w:t xml:space="preserve">В соответствии с </w:t>
      </w:r>
      <w:proofErr w:type="spellStart"/>
      <w:r w:rsidRPr="000930BA">
        <w:rPr>
          <w:color w:val="auto"/>
          <w:szCs w:val="24"/>
        </w:rPr>
        <w:t>п.п</w:t>
      </w:r>
      <w:proofErr w:type="spellEnd"/>
      <w:r w:rsidRPr="000930BA">
        <w:rPr>
          <w:color w:val="auto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  <w:r w:rsidRPr="000930BA">
        <w:rPr>
          <w:color w:val="auto"/>
          <w:szCs w:val="24"/>
        </w:rPr>
        <w:lastRenderedPageBreak/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подтвердил наличие письменного соглашения на оказание юридической помощи заявителю. </w:t>
      </w:r>
    </w:p>
    <w:p w:rsidR="000930BA" w:rsidRDefault="000930BA" w:rsidP="000930BA">
      <w:pPr>
        <w:ind w:firstLine="720"/>
        <w:jc w:val="both"/>
        <w:rPr>
          <w:color w:val="auto"/>
          <w:szCs w:val="24"/>
        </w:rPr>
      </w:pPr>
      <w:r w:rsidRPr="000930BA">
        <w:rPr>
          <w:color w:val="auto"/>
          <w:szCs w:val="24"/>
        </w:rPr>
        <w:t xml:space="preserve">Таким образом, оказание юридической помощи доверителю в </w:t>
      </w:r>
      <w:r>
        <w:rPr>
          <w:color w:val="auto"/>
          <w:szCs w:val="24"/>
        </w:rPr>
        <w:t xml:space="preserve">виде осуществления защиты </w:t>
      </w:r>
      <w:r w:rsidRPr="000930BA">
        <w:rPr>
          <w:color w:val="auto"/>
          <w:szCs w:val="24"/>
        </w:rPr>
        <w:t>п</w:t>
      </w:r>
      <w:r>
        <w:rPr>
          <w:color w:val="auto"/>
          <w:szCs w:val="24"/>
        </w:rPr>
        <w:t>о уголовному делу</w:t>
      </w:r>
      <w:r w:rsidR="00D742E1">
        <w:rPr>
          <w:color w:val="auto"/>
          <w:szCs w:val="24"/>
        </w:rPr>
        <w:t xml:space="preserve"> без заключения письменного соглашения</w:t>
      </w:r>
      <w:r w:rsidRPr="000930BA">
        <w:rPr>
          <w:color w:val="auto"/>
          <w:szCs w:val="24"/>
        </w:rPr>
        <w:t xml:space="preserve"> является самостоятельным дисциплинарным нарушением адвоката.</w:t>
      </w:r>
    </w:p>
    <w:p w:rsidR="00550D93" w:rsidRPr="00550D93" w:rsidRDefault="00550D93" w:rsidP="001572AC">
      <w:pPr>
        <w:pStyle w:val="99"/>
        <w:shd w:val="clear" w:color="auto" w:fill="auto"/>
        <w:tabs>
          <w:tab w:val="left" w:pos="1038"/>
        </w:tabs>
        <w:spacing w:before="0" w:line="259" w:lineRule="exact"/>
        <w:ind w:right="4" w:firstLine="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       </w:t>
      </w:r>
      <w:r w:rsidR="000930BA" w:rsidRPr="00550D93">
        <w:rPr>
          <w:rFonts w:ascii="Times New Roman" w:hAnsi="Times New Roman"/>
          <w:sz w:val="24"/>
          <w:szCs w:val="24"/>
        </w:rPr>
        <w:t xml:space="preserve">Кроме того, </w:t>
      </w:r>
      <w:r w:rsidR="003333B7" w:rsidRPr="00550D93">
        <w:rPr>
          <w:rFonts w:ascii="Times New Roman" w:hAnsi="Times New Roman"/>
          <w:sz w:val="24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="003333B7" w:rsidRPr="00550D93">
        <w:rPr>
          <w:rFonts w:ascii="Times New Roman" w:hAnsi="Times New Roman"/>
          <w:sz w:val="24"/>
          <w:szCs w:val="24"/>
        </w:rPr>
        <w:t>пп</w:t>
      </w:r>
      <w:proofErr w:type="spellEnd"/>
      <w:r w:rsidR="003333B7" w:rsidRPr="00550D93">
        <w:rPr>
          <w:rFonts w:ascii="Times New Roman" w:hAnsi="Times New Roman"/>
          <w:sz w:val="24"/>
          <w:szCs w:val="24"/>
        </w:rPr>
        <w:t xml:space="preserve">. 1 п. 1 ст. 9 Кодекса профессиональной этики адвоката, адвокат не вправе </w:t>
      </w:r>
      <w:r w:rsidRPr="00550D93">
        <w:rPr>
          <w:rStyle w:val="96"/>
          <w:rFonts w:ascii="Times New Roman" w:hAnsi="Times New Roman"/>
          <w:sz w:val="24"/>
          <w:szCs w:val="24"/>
        </w:rPr>
        <w:t>действовать вопреки законным интересам доверителя, оказы</w:t>
      </w:r>
      <w:r w:rsidRPr="00550D93">
        <w:rPr>
          <w:rStyle w:val="96"/>
          <w:rFonts w:ascii="Times New Roman" w:hAnsi="Times New Roman"/>
          <w:sz w:val="24"/>
          <w:szCs w:val="24"/>
        </w:rPr>
        <w:softHyphen/>
        <w:t>вать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ему юридическую помощь, руководствуясь соображениями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собственной выгоды, безнравственными интересами или находясь под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воздействием давления извне</w:t>
      </w:r>
      <w:r>
        <w:rPr>
          <w:rStyle w:val="96"/>
          <w:rFonts w:ascii="Times New Roman" w:hAnsi="Times New Roman"/>
          <w:sz w:val="24"/>
          <w:szCs w:val="24"/>
        </w:rPr>
        <w:t xml:space="preserve">. В соответствии с </w:t>
      </w:r>
      <w:proofErr w:type="spellStart"/>
      <w:r>
        <w:rPr>
          <w:rStyle w:val="96"/>
          <w:rFonts w:ascii="Times New Roman" w:hAnsi="Times New Roman"/>
          <w:sz w:val="24"/>
          <w:szCs w:val="24"/>
        </w:rPr>
        <w:t>пп</w:t>
      </w:r>
      <w:proofErr w:type="spellEnd"/>
      <w:r>
        <w:rPr>
          <w:rStyle w:val="96"/>
          <w:rFonts w:ascii="Times New Roman" w:hAnsi="Times New Roman"/>
          <w:sz w:val="24"/>
          <w:szCs w:val="24"/>
        </w:rPr>
        <w:t xml:space="preserve">. 6 п. 1 ст. 9 </w:t>
      </w:r>
      <w:r w:rsidRPr="00550D93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D93">
        <w:rPr>
          <w:rFonts w:ascii="Times New Roman" w:hAnsi="Times New Roman"/>
          <w:sz w:val="24"/>
          <w:szCs w:val="24"/>
        </w:rPr>
        <w:t>адвокат не 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навязывать свою помощь лицам и привлекать их в качестве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доверителей </w:t>
      </w:r>
      <w:bookmarkStart w:id="1" w:name="_Hlk24532553"/>
      <w:r w:rsidRPr="00390512">
        <w:rPr>
          <w:rStyle w:val="96"/>
          <w:rFonts w:ascii="Times New Roman" w:hAnsi="Times New Roman"/>
          <w:sz w:val="24"/>
          <w:szCs w:val="24"/>
        </w:rPr>
        <w:t>путем использования личных связей с работниками судебных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 правоохранительных органов</w:t>
      </w:r>
      <w:bookmarkEnd w:id="1"/>
      <w:r w:rsidRPr="00390512">
        <w:rPr>
          <w:rStyle w:val="96"/>
          <w:rFonts w:ascii="Times New Roman" w:hAnsi="Times New Roman"/>
          <w:sz w:val="24"/>
          <w:szCs w:val="24"/>
        </w:rPr>
        <w:t>, обещанием благополучного разрешения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дела и другими недостойными способами</w:t>
      </w:r>
      <w:r>
        <w:rPr>
          <w:rStyle w:val="96"/>
          <w:rFonts w:ascii="Times New Roman" w:hAnsi="Times New Roman"/>
          <w:sz w:val="24"/>
          <w:szCs w:val="24"/>
        </w:rPr>
        <w:t>.</w:t>
      </w:r>
    </w:p>
    <w:p w:rsidR="00550D93" w:rsidRDefault="00550D93" w:rsidP="00550D93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По мнению комиссии, в</w:t>
      </w:r>
      <w:r w:rsidR="003333B7">
        <w:rPr>
          <w:color w:val="auto"/>
          <w:szCs w:val="24"/>
        </w:rPr>
        <w:t xml:space="preserve"> настоящем дисциплинарном производстве адвокат не смог представить какие-либо надлежащие и непротиворечивые доказательства того, что он имел</w:t>
      </w:r>
      <w:r w:rsidR="001572AC">
        <w:rPr>
          <w:color w:val="auto"/>
          <w:szCs w:val="24"/>
        </w:rPr>
        <w:t xml:space="preserve"> достаточные </w:t>
      </w:r>
      <w:r w:rsidR="003333B7">
        <w:rPr>
          <w:color w:val="auto"/>
          <w:szCs w:val="24"/>
        </w:rPr>
        <w:t>правовые основания для вступления в уголовное дело (по соглашению с подзащитным, с третьим лицом в интересах подзащитного или в порядке ст. 51 УПК РФ) и руководствовался при осуществлении защиты</w:t>
      </w:r>
      <w:r>
        <w:rPr>
          <w:color w:val="auto"/>
          <w:szCs w:val="24"/>
        </w:rPr>
        <w:t xml:space="preserve"> по уголовному делу</w:t>
      </w:r>
      <w:r w:rsidR="003333B7">
        <w:rPr>
          <w:color w:val="auto"/>
          <w:szCs w:val="24"/>
        </w:rPr>
        <w:t xml:space="preserve"> законными интересами доверителя</w:t>
      </w:r>
      <w:r>
        <w:rPr>
          <w:color w:val="auto"/>
          <w:szCs w:val="24"/>
        </w:rPr>
        <w:t xml:space="preserve"> </w:t>
      </w:r>
      <w:r w:rsidR="005E75DF">
        <w:rPr>
          <w:color w:val="auto"/>
          <w:szCs w:val="24"/>
        </w:rPr>
        <w:t>П.</w:t>
      </w:r>
      <w:r>
        <w:rPr>
          <w:color w:val="auto"/>
          <w:szCs w:val="24"/>
        </w:rPr>
        <w:t>И.Б.</w:t>
      </w:r>
      <w:r w:rsidR="003333B7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а</w:t>
      </w:r>
      <w:proofErr w:type="gramEnd"/>
      <w:r>
        <w:rPr>
          <w:color w:val="auto"/>
          <w:szCs w:val="24"/>
        </w:rPr>
        <w:t xml:space="preserve"> не </w:t>
      </w:r>
      <w:r w:rsidRPr="00390512">
        <w:rPr>
          <w:rStyle w:val="96"/>
          <w:szCs w:val="24"/>
        </w:rPr>
        <w:t>соображениями</w:t>
      </w:r>
      <w:r w:rsidRPr="00390512">
        <w:rPr>
          <w:rStyle w:val="97"/>
          <w:szCs w:val="24"/>
        </w:rPr>
        <w:t xml:space="preserve"> </w:t>
      </w:r>
      <w:r>
        <w:rPr>
          <w:rStyle w:val="96"/>
          <w:szCs w:val="24"/>
        </w:rPr>
        <w:t>собственной выгоды или</w:t>
      </w:r>
      <w:r w:rsidRPr="00390512">
        <w:rPr>
          <w:rStyle w:val="96"/>
          <w:szCs w:val="24"/>
        </w:rPr>
        <w:t xml:space="preserve"> безнравственными интересами</w:t>
      </w:r>
      <w:r>
        <w:rPr>
          <w:rStyle w:val="96"/>
          <w:szCs w:val="24"/>
        </w:rPr>
        <w:t>.</w:t>
      </w:r>
    </w:p>
    <w:p w:rsidR="003333B7" w:rsidRDefault="003333B7" w:rsidP="003333B7">
      <w:pPr>
        <w:ind w:firstLine="720"/>
        <w:jc w:val="both"/>
        <w:rPr>
          <w:szCs w:val="24"/>
        </w:rPr>
      </w:pPr>
      <w:proofErr w:type="gramStart"/>
      <w:r>
        <w:rPr>
          <w:color w:val="auto"/>
          <w:szCs w:val="24"/>
        </w:rPr>
        <w:t>Комиссия обращает внимание на то, что адвокат не опроверг информацию</w:t>
      </w:r>
      <w:r w:rsidR="00550D93">
        <w:rPr>
          <w:color w:val="auto"/>
          <w:szCs w:val="24"/>
        </w:rPr>
        <w:t>, указанную</w:t>
      </w:r>
      <w:r>
        <w:rPr>
          <w:color w:val="auto"/>
          <w:szCs w:val="24"/>
        </w:rPr>
        <w:t xml:space="preserve"> в жалобе доверителем о том, что адвокат Рябинин К.А. был представлен ему непосредственно дознавателем московской таможни</w:t>
      </w:r>
      <w:r w:rsidR="00550D93">
        <w:rPr>
          <w:color w:val="auto"/>
          <w:szCs w:val="24"/>
        </w:rPr>
        <w:t xml:space="preserve"> перед проведением допроса в первом часу ночи в отделе дознания</w:t>
      </w:r>
      <w:r>
        <w:rPr>
          <w:color w:val="auto"/>
          <w:szCs w:val="24"/>
        </w:rPr>
        <w:t>, и не смог</w:t>
      </w:r>
      <w:r w:rsidR="009053F9">
        <w:rPr>
          <w:color w:val="auto"/>
          <w:szCs w:val="24"/>
        </w:rPr>
        <w:t xml:space="preserve"> достоверно</w:t>
      </w:r>
      <w:r>
        <w:rPr>
          <w:color w:val="auto"/>
          <w:szCs w:val="24"/>
        </w:rPr>
        <w:t xml:space="preserve"> пояснить комиссии, каким именно образом и от кого ему стало известно о проведении дознания в отношении заявителя </w:t>
      </w:r>
      <w:r w:rsidR="005E75DF">
        <w:rPr>
          <w:color w:val="auto"/>
          <w:szCs w:val="24"/>
        </w:rPr>
        <w:t>П.</w:t>
      </w:r>
      <w:proofErr w:type="gramEnd"/>
      <w:r>
        <w:rPr>
          <w:color w:val="auto"/>
          <w:szCs w:val="24"/>
        </w:rPr>
        <w:t xml:space="preserve">И.Б. в ночное время в </w:t>
      </w:r>
      <w:r>
        <w:rPr>
          <w:szCs w:val="24"/>
        </w:rPr>
        <w:t xml:space="preserve">отделе дознания </w:t>
      </w:r>
      <w:r w:rsidR="005E75DF">
        <w:rPr>
          <w:szCs w:val="24"/>
        </w:rPr>
        <w:t>Х</w:t>
      </w:r>
      <w:r>
        <w:rPr>
          <w:szCs w:val="24"/>
        </w:rPr>
        <w:t>.</w:t>
      </w:r>
      <w:r w:rsidR="002929BF">
        <w:rPr>
          <w:szCs w:val="24"/>
        </w:rPr>
        <w:t xml:space="preserve"> </w:t>
      </w:r>
      <w:r w:rsidR="002929BF" w:rsidRPr="002929BF">
        <w:rPr>
          <w:szCs w:val="24"/>
        </w:rPr>
        <w:t xml:space="preserve">В совокупности изложенные обстоятельства позволяют </w:t>
      </w:r>
      <w:r w:rsidR="002929BF">
        <w:rPr>
          <w:szCs w:val="24"/>
        </w:rPr>
        <w:t>к</w:t>
      </w:r>
      <w:r w:rsidR="002929BF" w:rsidRPr="002929BF">
        <w:rPr>
          <w:szCs w:val="24"/>
        </w:rPr>
        <w:t xml:space="preserve">омиссии согласиться с доводом жалобы о том, что адвокат был </w:t>
      </w:r>
      <w:r w:rsidR="002929BF">
        <w:rPr>
          <w:szCs w:val="24"/>
        </w:rPr>
        <w:t>«</w:t>
      </w:r>
      <w:r w:rsidR="002929BF" w:rsidRPr="002929BF">
        <w:rPr>
          <w:szCs w:val="24"/>
        </w:rPr>
        <w:t>рекомендован</w:t>
      </w:r>
      <w:r w:rsidR="002929BF">
        <w:rPr>
          <w:szCs w:val="24"/>
        </w:rPr>
        <w:t>» заявителю</w:t>
      </w:r>
      <w:r w:rsidR="002929BF" w:rsidRPr="002929BF">
        <w:rPr>
          <w:szCs w:val="24"/>
        </w:rPr>
        <w:t xml:space="preserve"> дознавателем</w:t>
      </w:r>
      <w:r w:rsidR="002929BF">
        <w:rPr>
          <w:szCs w:val="24"/>
        </w:rPr>
        <w:t>.</w:t>
      </w:r>
    </w:p>
    <w:p w:rsidR="009053F9" w:rsidRPr="009053F9" w:rsidRDefault="009053F9" w:rsidP="009053F9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E26A67">
        <w:t xml:space="preserve">           </w:t>
      </w:r>
      <w:proofErr w:type="gramStart"/>
      <w:r w:rsidRPr="00E26A67">
        <w:rPr>
          <w:sz w:val="24"/>
          <w:szCs w:val="24"/>
        </w:rPr>
        <w:t>Комиссия неоднократно ранее отмечала, что при отсутствии сведений от адвоката о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надлежащем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исполнении поручения доверителя в отношении доводов жалобы не может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быть применена презумпция добросовестности адвоката, закрепленная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самостоятельного собирания доказательств для опровержения доводов</w:t>
      </w:r>
      <w:r w:rsidRPr="00E26A67">
        <w:rPr>
          <w:rStyle w:val="67"/>
          <w:sz w:val="24"/>
          <w:szCs w:val="24"/>
        </w:rPr>
        <w:t xml:space="preserve"> </w:t>
      </w:r>
      <w:r w:rsidRPr="00E26A67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</w:t>
      </w:r>
      <w:proofErr w:type="gramEnd"/>
      <w:r w:rsidRPr="00E26A67">
        <w:rPr>
          <w:sz w:val="24"/>
          <w:szCs w:val="24"/>
        </w:rPr>
        <w:t>».</w:t>
      </w:r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  <w:proofErr w:type="gramStart"/>
      <w:r w:rsidRPr="000930BA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5E75DF">
        <w:rPr>
          <w:color w:val="auto"/>
          <w:szCs w:val="24"/>
        </w:rPr>
        <w:t>Р.</w:t>
      </w:r>
      <w:r>
        <w:rPr>
          <w:color w:val="auto"/>
          <w:szCs w:val="24"/>
        </w:rPr>
        <w:t>К.А.</w:t>
      </w:r>
      <w:r w:rsidRPr="000930BA">
        <w:rPr>
          <w:color w:val="auto"/>
          <w:szCs w:val="24"/>
        </w:rPr>
        <w:t xml:space="preserve"> нарушений </w:t>
      </w:r>
      <w:proofErr w:type="spellStart"/>
      <w:r w:rsidRPr="00550D93">
        <w:rPr>
          <w:color w:val="auto"/>
          <w:szCs w:val="24"/>
        </w:rPr>
        <w:t>п.п</w:t>
      </w:r>
      <w:proofErr w:type="spellEnd"/>
      <w:r w:rsidRPr="00550D93">
        <w:rPr>
          <w:color w:val="auto"/>
          <w:szCs w:val="24"/>
        </w:rPr>
        <w:t>. 1 п. 1 ст. 7, п. 1 и 2 ст. 25</w:t>
      </w:r>
      <w:r w:rsidRPr="000930BA">
        <w:rPr>
          <w:color w:val="auto"/>
          <w:szCs w:val="24"/>
        </w:rPr>
        <w:t xml:space="preserve"> ФЗ «Об адвокатской деятельности и адвокатуре в РФ», п. 1 ст. 8</w:t>
      </w:r>
      <w:r w:rsidR="00550D93">
        <w:rPr>
          <w:color w:val="auto"/>
          <w:szCs w:val="24"/>
        </w:rPr>
        <w:t xml:space="preserve">, </w:t>
      </w:r>
      <w:proofErr w:type="spellStart"/>
      <w:r w:rsidR="00550D93">
        <w:rPr>
          <w:color w:val="auto"/>
          <w:szCs w:val="24"/>
        </w:rPr>
        <w:t>пп</w:t>
      </w:r>
      <w:proofErr w:type="spellEnd"/>
      <w:r w:rsidR="00550D93">
        <w:rPr>
          <w:color w:val="auto"/>
          <w:szCs w:val="24"/>
        </w:rPr>
        <w:t xml:space="preserve">. 1 и 6 п. 1 ст. 9 </w:t>
      </w:r>
      <w:r w:rsidRPr="000930BA">
        <w:rPr>
          <w:color w:val="auto"/>
          <w:szCs w:val="24"/>
        </w:rPr>
        <w:t xml:space="preserve"> Кодекса профессиональной этики адвоката, и ненадлежащем исполнении своих</w:t>
      </w:r>
      <w:proofErr w:type="gramEnd"/>
      <w:r w:rsidRPr="000930BA">
        <w:rPr>
          <w:color w:val="auto"/>
          <w:szCs w:val="24"/>
        </w:rPr>
        <w:t xml:space="preserve"> обязанностей перед доверителем </w:t>
      </w:r>
      <w:r w:rsidR="005E75DF">
        <w:rPr>
          <w:color w:val="auto"/>
          <w:szCs w:val="24"/>
        </w:rPr>
        <w:t>П.</w:t>
      </w:r>
      <w:r>
        <w:rPr>
          <w:color w:val="auto"/>
          <w:szCs w:val="24"/>
        </w:rPr>
        <w:t>И.Б.</w:t>
      </w:r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  <w:proofErr w:type="gramStart"/>
      <w:r w:rsidRPr="000930BA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  <w:r w:rsidRPr="000930BA">
        <w:rPr>
          <w:color w:val="auto"/>
          <w:szCs w:val="24"/>
        </w:rPr>
        <w:lastRenderedPageBreak/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</w:t>
      </w:r>
      <w:r w:rsidR="007A5629" w:rsidRPr="000930BA">
        <w:rPr>
          <w:color w:val="auto"/>
          <w:szCs w:val="24"/>
        </w:rPr>
        <w:t>комиссия Адвокатской</w:t>
      </w:r>
      <w:r w:rsidRPr="000930BA">
        <w:rPr>
          <w:color w:val="auto"/>
          <w:szCs w:val="24"/>
        </w:rPr>
        <w:t xml:space="preserve"> палаты Московской области дает </w:t>
      </w:r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</w:p>
    <w:p w:rsidR="000930BA" w:rsidRPr="000930BA" w:rsidRDefault="000930BA" w:rsidP="000930BA">
      <w:pPr>
        <w:ind w:firstLine="720"/>
        <w:jc w:val="center"/>
        <w:rPr>
          <w:b/>
          <w:color w:val="auto"/>
          <w:szCs w:val="24"/>
        </w:rPr>
      </w:pPr>
      <w:r w:rsidRPr="000930BA">
        <w:rPr>
          <w:b/>
          <w:color w:val="auto"/>
          <w:szCs w:val="24"/>
        </w:rPr>
        <w:t>ЗАКЛЮЧЕНИЕ:</w:t>
      </w:r>
    </w:p>
    <w:p w:rsidR="000930BA" w:rsidRPr="000930BA" w:rsidRDefault="000930BA" w:rsidP="000930BA">
      <w:pPr>
        <w:ind w:firstLine="720"/>
        <w:jc w:val="both"/>
        <w:rPr>
          <w:b/>
          <w:color w:val="auto"/>
          <w:szCs w:val="24"/>
        </w:rPr>
      </w:pPr>
    </w:p>
    <w:p w:rsidR="000930BA" w:rsidRPr="000930BA" w:rsidRDefault="000930BA" w:rsidP="000930BA">
      <w:pPr>
        <w:ind w:firstLine="720"/>
        <w:jc w:val="both"/>
        <w:rPr>
          <w:color w:val="auto"/>
          <w:szCs w:val="24"/>
        </w:rPr>
      </w:pPr>
      <w:proofErr w:type="gramStart"/>
      <w:r w:rsidRPr="000930BA">
        <w:rPr>
          <w:color w:val="auto"/>
          <w:szCs w:val="24"/>
        </w:rPr>
        <w:t xml:space="preserve">- </w:t>
      </w:r>
      <w:r w:rsidRPr="00102963">
        <w:rPr>
          <w:color w:val="auto"/>
          <w:szCs w:val="24"/>
        </w:rPr>
        <w:t xml:space="preserve">о наличии в действиях (бездействии) адвоката </w:t>
      </w:r>
      <w:r w:rsidR="005E75DF">
        <w:rPr>
          <w:color w:val="auto"/>
          <w:szCs w:val="24"/>
        </w:rPr>
        <w:t>Р.К.А.</w:t>
      </w:r>
      <w:r w:rsidRPr="00102963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102963">
        <w:rPr>
          <w:color w:val="auto"/>
          <w:szCs w:val="24"/>
        </w:rPr>
        <w:t>п.п</w:t>
      </w:r>
      <w:proofErr w:type="spellEnd"/>
      <w:r w:rsidRPr="00102963">
        <w:rPr>
          <w:color w:val="auto"/>
          <w:szCs w:val="24"/>
        </w:rPr>
        <w:t>. 1 п. 1 ст. 7, п. 1 и 2 ст</w:t>
      </w:r>
      <w:r w:rsidRPr="000930BA">
        <w:rPr>
          <w:color w:val="auto"/>
          <w:szCs w:val="24"/>
        </w:rPr>
        <w:t>. 25 ФЗ «Об адвокатской деятельности и адвокатуре в РФ», п. 1 ст. 8</w:t>
      </w:r>
      <w:r w:rsidR="003333B7">
        <w:rPr>
          <w:color w:val="auto"/>
          <w:szCs w:val="24"/>
        </w:rPr>
        <w:t xml:space="preserve">, </w:t>
      </w:r>
      <w:proofErr w:type="spellStart"/>
      <w:r w:rsidR="003333B7">
        <w:rPr>
          <w:color w:val="auto"/>
          <w:szCs w:val="24"/>
        </w:rPr>
        <w:t>пп</w:t>
      </w:r>
      <w:proofErr w:type="spellEnd"/>
      <w:r w:rsidR="003333B7">
        <w:rPr>
          <w:color w:val="auto"/>
          <w:szCs w:val="24"/>
        </w:rPr>
        <w:t>. 1</w:t>
      </w:r>
      <w:r w:rsidR="00102963">
        <w:rPr>
          <w:color w:val="auto"/>
          <w:szCs w:val="24"/>
        </w:rPr>
        <w:t xml:space="preserve"> и 6 п. 1</w:t>
      </w:r>
      <w:r w:rsidR="003333B7">
        <w:rPr>
          <w:color w:val="auto"/>
          <w:szCs w:val="24"/>
        </w:rPr>
        <w:t xml:space="preserve"> ст. 9</w:t>
      </w:r>
      <w:r w:rsidRPr="000930BA">
        <w:rPr>
          <w:color w:val="auto"/>
          <w:szCs w:val="24"/>
        </w:rPr>
        <w:t xml:space="preserve"> Кодекса профессиональной</w:t>
      </w:r>
      <w:proofErr w:type="gramEnd"/>
      <w:r w:rsidRPr="000930BA">
        <w:rPr>
          <w:color w:val="auto"/>
          <w:szCs w:val="24"/>
        </w:rPr>
        <w:t xml:space="preserve"> этики адвоката, а также ненадлежащем исполнении адвокатом своих профессиональных обязанностей перед доверителем </w:t>
      </w:r>
      <w:r w:rsidR="005E75DF">
        <w:rPr>
          <w:color w:val="auto"/>
          <w:szCs w:val="24"/>
        </w:rPr>
        <w:t>П.</w:t>
      </w:r>
      <w:r>
        <w:rPr>
          <w:color w:val="auto"/>
          <w:szCs w:val="24"/>
        </w:rPr>
        <w:t>И.Б.</w:t>
      </w:r>
      <w:r w:rsidRPr="000930BA">
        <w:rPr>
          <w:color w:val="auto"/>
          <w:szCs w:val="24"/>
        </w:rPr>
        <w:t xml:space="preserve">, </w:t>
      </w:r>
      <w:proofErr w:type="gramStart"/>
      <w:r w:rsidRPr="000930BA">
        <w:rPr>
          <w:color w:val="auto"/>
          <w:szCs w:val="24"/>
        </w:rPr>
        <w:t>которое</w:t>
      </w:r>
      <w:proofErr w:type="gramEnd"/>
      <w:r w:rsidRPr="000930BA">
        <w:rPr>
          <w:color w:val="auto"/>
          <w:szCs w:val="24"/>
        </w:rPr>
        <w:t xml:space="preserve"> выразилось в том, что адвокат:</w:t>
      </w:r>
    </w:p>
    <w:p w:rsidR="00102963" w:rsidRPr="00102963" w:rsidRDefault="00102963" w:rsidP="00102963">
      <w:pPr>
        <w:numPr>
          <w:ilvl w:val="0"/>
          <w:numId w:val="1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нарушил порядок </w:t>
      </w:r>
      <w:r w:rsidRPr="00102963">
        <w:rPr>
          <w:rFonts w:eastAsia="Calibri"/>
          <w:color w:val="auto"/>
          <w:szCs w:val="24"/>
        </w:rPr>
        <w:t>оформления оказания юридической помощи, а именно оказывал</w:t>
      </w:r>
      <w:r>
        <w:rPr>
          <w:rFonts w:eastAsia="Calibri"/>
          <w:color w:val="auto"/>
          <w:szCs w:val="24"/>
        </w:rPr>
        <w:t xml:space="preserve"> </w:t>
      </w:r>
      <w:r w:rsidRPr="00102963">
        <w:rPr>
          <w:rFonts w:eastAsia="Calibri"/>
          <w:color w:val="auto"/>
          <w:szCs w:val="24"/>
        </w:rPr>
        <w:t>юридическую помощь</w:t>
      </w:r>
      <w:r>
        <w:rPr>
          <w:rFonts w:eastAsia="Calibri"/>
          <w:color w:val="auto"/>
          <w:szCs w:val="24"/>
        </w:rPr>
        <w:t xml:space="preserve"> в виде защиты</w:t>
      </w:r>
      <w:r w:rsidRPr="00102963">
        <w:rPr>
          <w:rFonts w:eastAsia="Calibri"/>
          <w:color w:val="auto"/>
          <w:szCs w:val="24"/>
        </w:rPr>
        <w:t xml:space="preserve"> доверител</w:t>
      </w:r>
      <w:r>
        <w:rPr>
          <w:rFonts w:eastAsia="Calibri"/>
          <w:color w:val="auto"/>
          <w:szCs w:val="24"/>
        </w:rPr>
        <w:t>я по уголовному делу</w:t>
      </w:r>
      <w:r w:rsidRPr="00102963">
        <w:rPr>
          <w:rFonts w:eastAsia="Calibri"/>
          <w:color w:val="auto"/>
          <w:szCs w:val="24"/>
        </w:rPr>
        <w:t xml:space="preserve"> без заключения письменного соглашения</w:t>
      </w:r>
      <w:r>
        <w:rPr>
          <w:rFonts w:eastAsia="Calibri"/>
          <w:color w:val="auto"/>
          <w:szCs w:val="24"/>
        </w:rPr>
        <w:t>;</w:t>
      </w:r>
    </w:p>
    <w:p w:rsidR="000930BA" w:rsidRPr="00102963" w:rsidRDefault="00102963" w:rsidP="00102963">
      <w:pPr>
        <w:numPr>
          <w:ilvl w:val="0"/>
          <w:numId w:val="19"/>
        </w:numPr>
        <w:jc w:val="both"/>
        <w:rPr>
          <w:rStyle w:val="96"/>
          <w:color w:val="auto"/>
          <w:szCs w:val="24"/>
          <w:shd w:val="clear" w:color="auto" w:fill="auto"/>
        </w:rPr>
      </w:pPr>
      <w:r>
        <w:rPr>
          <w:color w:val="auto"/>
          <w:szCs w:val="24"/>
        </w:rPr>
        <w:t xml:space="preserve">вступил в уголовное дело </w:t>
      </w:r>
      <w:r w:rsidRPr="00102963">
        <w:rPr>
          <w:rStyle w:val="96"/>
          <w:szCs w:val="24"/>
        </w:rPr>
        <w:t>вопреки</w:t>
      </w:r>
      <w:r>
        <w:rPr>
          <w:rStyle w:val="96"/>
          <w:szCs w:val="24"/>
        </w:rPr>
        <w:t xml:space="preserve"> законным интересам доверителя и начал оказы</w:t>
      </w:r>
      <w:r w:rsidRPr="00102963">
        <w:rPr>
          <w:rStyle w:val="96"/>
          <w:szCs w:val="24"/>
        </w:rPr>
        <w:t>вать ему юридическую помощь, руководствуясь соображениями</w:t>
      </w:r>
      <w:r w:rsidRPr="00102963">
        <w:rPr>
          <w:rStyle w:val="97"/>
          <w:szCs w:val="24"/>
        </w:rPr>
        <w:t xml:space="preserve"> </w:t>
      </w:r>
      <w:r>
        <w:rPr>
          <w:rStyle w:val="96"/>
          <w:szCs w:val="24"/>
        </w:rPr>
        <w:t xml:space="preserve">собственной выгоды или </w:t>
      </w:r>
      <w:r w:rsidRPr="00102963">
        <w:rPr>
          <w:rStyle w:val="96"/>
          <w:szCs w:val="24"/>
        </w:rPr>
        <w:t>безнравственными интересами</w:t>
      </w:r>
      <w:r>
        <w:rPr>
          <w:rStyle w:val="96"/>
          <w:szCs w:val="24"/>
        </w:rPr>
        <w:t>;</w:t>
      </w:r>
    </w:p>
    <w:p w:rsidR="000930BA" w:rsidRDefault="005920E5" w:rsidP="002929BF">
      <w:pPr>
        <w:numPr>
          <w:ilvl w:val="0"/>
          <w:numId w:val="1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навязывал оказание юридической помощи </w:t>
      </w:r>
      <w:r>
        <w:rPr>
          <w:rStyle w:val="96"/>
          <w:szCs w:val="24"/>
        </w:rPr>
        <w:t>доверителю</w:t>
      </w:r>
      <w:r w:rsidR="002929BF">
        <w:rPr>
          <w:rStyle w:val="96"/>
          <w:szCs w:val="24"/>
        </w:rPr>
        <w:t xml:space="preserve"> </w:t>
      </w:r>
      <w:r w:rsidR="002929BF" w:rsidRPr="002929BF">
        <w:rPr>
          <w:color w:val="auto"/>
          <w:szCs w:val="24"/>
        </w:rPr>
        <w:t>путем использования личных связей с работниками правоохранительных органов</w:t>
      </w:r>
      <w:r w:rsidR="002929BF">
        <w:rPr>
          <w:color w:val="auto"/>
          <w:szCs w:val="24"/>
        </w:rPr>
        <w:t>.</w:t>
      </w:r>
    </w:p>
    <w:p w:rsidR="002929BF" w:rsidRPr="002929BF" w:rsidRDefault="002929BF" w:rsidP="002929BF">
      <w:pPr>
        <w:ind w:left="720"/>
        <w:jc w:val="both"/>
        <w:rPr>
          <w:color w:val="auto"/>
          <w:szCs w:val="24"/>
        </w:rPr>
      </w:pPr>
    </w:p>
    <w:p w:rsidR="000930BA" w:rsidRDefault="000930BA" w:rsidP="000A59E4">
      <w:pPr>
        <w:jc w:val="both"/>
        <w:rPr>
          <w:color w:val="auto"/>
          <w:szCs w:val="24"/>
        </w:rPr>
      </w:pPr>
    </w:p>
    <w:p w:rsidR="005920E5" w:rsidRPr="000930BA" w:rsidRDefault="005920E5" w:rsidP="000A59E4">
      <w:pPr>
        <w:jc w:val="both"/>
        <w:rPr>
          <w:color w:val="auto"/>
          <w:szCs w:val="24"/>
        </w:rPr>
      </w:pPr>
    </w:p>
    <w:p w:rsidR="000930BA" w:rsidRPr="000930BA" w:rsidRDefault="000930BA" w:rsidP="000930BA">
      <w:pPr>
        <w:jc w:val="both"/>
        <w:rPr>
          <w:color w:val="auto"/>
          <w:szCs w:val="24"/>
        </w:rPr>
      </w:pPr>
      <w:proofErr w:type="spellStart"/>
      <w:r w:rsidRPr="000930BA">
        <w:rPr>
          <w:color w:val="auto"/>
          <w:szCs w:val="24"/>
        </w:rPr>
        <w:t>И.о</w:t>
      </w:r>
      <w:proofErr w:type="spellEnd"/>
      <w:r w:rsidRPr="000930BA">
        <w:rPr>
          <w:color w:val="auto"/>
          <w:szCs w:val="24"/>
        </w:rPr>
        <w:t xml:space="preserve">. председателя Квалификационной комиссии </w:t>
      </w:r>
    </w:p>
    <w:p w:rsidR="005B0286" w:rsidRPr="000930BA" w:rsidRDefault="000930BA" w:rsidP="000930BA">
      <w:pPr>
        <w:jc w:val="both"/>
        <w:rPr>
          <w:color w:val="auto"/>
          <w:szCs w:val="24"/>
        </w:rPr>
      </w:pPr>
      <w:r w:rsidRPr="000930BA">
        <w:rPr>
          <w:color w:val="auto"/>
          <w:szCs w:val="24"/>
        </w:rPr>
        <w:t xml:space="preserve">Адвокатской палаты Московской области                                               </w:t>
      </w:r>
      <w:proofErr w:type="spellStart"/>
      <w:r w:rsidRPr="000930BA">
        <w:rPr>
          <w:color w:val="auto"/>
          <w:szCs w:val="24"/>
        </w:rPr>
        <w:t>Толчеев</w:t>
      </w:r>
      <w:proofErr w:type="spellEnd"/>
      <w:r w:rsidRPr="000930BA">
        <w:rPr>
          <w:color w:val="auto"/>
          <w:szCs w:val="24"/>
        </w:rPr>
        <w:t xml:space="preserve"> М.Н.</w:t>
      </w:r>
    </w:p>
    <w:sectPr w:rsidR="005B0286" w:rsidRPr="000930B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46" w:rsidRDefault="00144A46">
      <w:r>
        <w:separator/>
      </w:r>
    </w:p>
  </w:endnote>
  <w:endnote w:type="continuationSeparator" w:id="0">
    <w:p w:rsidR="00144A46" w:rsidRDefault="0014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46" w:rsidRDefault="00144A46">
      <w:r>
        <w:separator/>
      </w:r>
    </w:p>
  </w:footnote>
  <w:footnote w:type="continuationSeparator" w:id="0">
    <w:p w:rsidR="00144A46" w:rsidRDefault="0014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D742F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E75D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D5C3336"/>
    <w:multiLevelType w:val="hybridMultilevel"/>
    <w:tmpl w:val="AD36A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C39AA"/>
    <w:multiLevelType w:val="multilevel"/>
    <w:tmpl w:val="E08CF78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0D3C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65FBD"/>
    <w:rsid w:val="000713E9"/>
    <w:rsid w:val="00071EB2"/>
    <w:rsid w:val="0007544D"/>
    <w:rsid w:val="000930BA"/>
    <w:rsid w:val="000957EF"/>
    <w:rsid w:val="00097654"/>
    <w:rsid w:val="000A2FFF"/>
    <w:rsid w:val="000A38E7"/>
    <w:rsid w:val="000A5381"/>
    <w:rsid w:val="000A59E4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601D"/>
    <w:rsid w:val="00102963"/>
    <w:rsid w:val="001032C5"/>
    <w:rsid w:val="00111E34"/>
    <w:rsid w:val="0011382C"/>
    <w:rsid w:val="00115069"/>
    <w:rsid w:val="0012034B"/>
    <w:rsid w:val="0012190F"/>
    <w:rsid w:val="00122130"/>
    <w:rsid w:val="00124569"/>
    <w:rsid w:val="001265FE"/>
    <w:rsid w:val="0013385B"/>
    <w:rsid w:val="00141EF4"/>
    <w:rsid w:val="001442ED"/>
    <w:rsid w:val="00144A46"/>
    <w:rsid w:val="00152714"/>
    <w:rsid w:val="00153E14"/>
    <w:rsid w:val="0015469C"/>
    <w:rsid w:val="0015584D"/>
    <w:rsid w:val="001572A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D39D5"/>
    <w:rsid w:val="001D4D17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29BF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33B7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69B2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93"/>
    <w:rsid w:val="00550DFC"/>
    <w:rsid w:val="005531D1"/>
    <w:rsid w:val="00557452"/>
    <w:rsid w:val="005600DA"/>
    <w:rsid w:val="00561252"/>
    <w:rsid w:val="005622C3"/>
    <w:rsid w:val="005634E6"/>
    <w:rsid w:val="0056375B"/>
    <w:rsid w:val="00567E8A"/>
    <w:rsid w:val="00572411"/>
    <w:rsid w:val="0057599B"/>
    <w:rsid w:val="00576679"/>
    <w:rsid w:val="00580E66"/>
    <w:rsid w:val="00583045"/>
    <w:rsid w:val="00585C7F"/>
    <w:rsid w:val="00585E84"/>
    <w:rsid w:val="00587D99"/>
    <w:rsid w:val="005910FD"/>
    <w:rsid w:val="005920E5"/>
    <w:rsid w:val="00592D96"/>
    <w:rsid w:val="0059413D"/>
    <w:rsid w:val="00595C2A"/>
    <w:rsid w:val="005A00AE"/>
    <w:rsid w:val="005A6419"/>
    <w:rsid w:val="005B0286"/>
    <w:rsid w:val="005B24E5"/>
    <w:rsid w:val="005B3482"/>
    <w:rsid w:val="005B6113"/>
    <w:rsid w:val="005B7097"/>
    <w:rsid w:val="005B7712"/>
    <w:rsid w:val="005C242C"/>
    <w:rsid w:val="005C6C56"/>
    <w:rsid w:val="005D18E3"/>
    <w:rsid w:val="005D2382"/>
    <w:rsid w:val="005D367D"/>
    <w:rsid w:val="005D53C4"/>
    <w:rsid w:val="005D6B78"/>
    <w:rsid w:val="005E298B"/>
    <w:rsid w:val="005E663E"/>
    <w:rsid w:val="005E75DF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176E6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31F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5629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298B"/>
    <w:rsid w:val="008137B5"/>
    <w:rsid w:val="00814621"/>
    <w:rsid w:val="008159E2"/>
    <w:rsid w:val="008216BF"/>
    <w:rsid w:val="00826436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E4D76"/>
    <w:rsid w:val="008F0872"/>
    <w:rsid w:val="008F706C"/>
    <w:rsid w:val="008F76D7"/>
    <w:rsid w:val="009053F9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606A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65DB"/>
    <w:rsid w:val="009F76FA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1DF0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547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15E59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42E1"/>
    <w:rsid w:val="00D742FB"/>
    <w:rsid w:val="00D879EE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DF7F48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776FD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7AF0"/>
    <w:rsid w:val="00EF439D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550D93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550D93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4421-6D55-45A4-9D10-98911E75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1496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32</cp:revision>
  <cp:lastPrinted>2018-12-10T07:23:00Z</cp:lastPrinted>
  <dcterms:created xsi:type="dcterms:W3CDTF">2019-10-28T09:47:00Z</dcterms:created>
  <dcterms:modified xsi:type="dcterms:W3CDTF">2022-04-11T10:25:00Z</dcterms:modified>
</cp:coreProperties>
</file>