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490224B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2466E5">
        <w:rPr>
          <w:b w:val="0"/>
          <w:sz w:val="24"/>
          <w:szCs w:val="24"/>
        </w:rPr>
        <w:t>0</w:t>
      </w:r>
      <w:r w:rsidR="00521442">
        <w:rPr>
          <w:b w:val="0"/>
          <w:sz w:val="24"/>
          <w:szCs w:val="24"/>
        </w:rPr>
        <w:t>6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15B66B79" w:rsidR="00502664" w:rsidRPr="0000209B" w:rsidRDefault="0052144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DD743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DD7437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Б</w:t>
      </w:r>
      <w:r w:rsidR="00DD7437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F39E9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5E0DE8">
        <w:t>28 февраля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5AABB061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484F2278" w14:textId="77777777" w:rsidR="00157227" w:rsidRPr="007B247E" w:rsidRDefault="00157227" w:rsidP="0015722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1EEA356E" w14:textId="77777777" w:rsidR="00157227" w:rsidRPr="007B247E" w:rsidRDefault="00157227" w:rsidP="0015722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1A107CA7" w14:textId="16A95DB0" w:rsidR="00157227" w:rsidRPr="00E01692" w:rsidRDefault="00157227" w:rsidP="0015722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 Архангельского М.В., адвоката М</w:t>
      </w:r>
      <w:r w:rsidR="00DD7437">
        <w:rPr>
          <w:color w:val="auto"/>
        </w:rPr>
        <w:t>.</w:t>
      </w:r>
      <w:r>
        <w:rPr>
          <w:color w:val="auto"/>
        </w:rPr>
        <w:t>М.Б.,</w:t>
      </w:r>
    </w:p>
    <w:p w14:paraId="058AD548" w14:textId="77777777" w:rsidR="00157227" w:rsidRPr="008B3878" w:rsidRDefault="00157227" w:rsidP="0015722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20904216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D0A06">
        <w:rPr>
          <w:sz w:val="24"/>
        </w:rPr>
        <w:t>01</w:t>
      </w:r>
      <w:r w:rsidR="004165D5">
        <w:rPr>
          <w:sz w:val="24"/>
        </w:rPr>
        <w:t>.</w:t>
      </w:r>
      <w:r w:rsidR="00DD0A06">
        <w:rPr>
          <w:sz w:val="24"/>
        </w:rPr>
        <w:t>02</w:t>
      </w:r>
      <w:r w:rsidR="00D15EA3" w:rsidRPr="00D15EA3">
        <w:rPr>
          <w:sz w:val="24"/>
        </w:rPr>
        <w:t>.202</w:t>
      </w:r>
      <w:r w:rsidR="00DD0A06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CD0216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CD0216">
        <w:rPr>
          <w:sz w:val="24"/>
          <w:szCs w:val="24"/>
        </w:rPr>
        <w:t>Толчеева</w:t>
      </w:r>
      <w:proofErr w:type="spellEnd"/>
      <w:r w:rsidR="00CD0216">
        <w:rPr>
          <w:sz w:val="24"/>
          <w:szCs w:val="24"/>
        </w:rPr>
        <w:t xml:space="preserve"> М.Н. в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521442">
        <w:rPr>
          <w:sz w:val="24"/>
          <w:szCs w:val="24"/>
        </w:rPr>
        <w:t>М</w:t>
      </w:r>
      <w:r w:rsidR="00DD7437">
        <w:rPr>
          <w:sz w:val="24"/>
          <w:szCs w:val="24"/>
        </w:rPr>
        <w:t>.</w:t>
      </w:r>
      <w:r w:rsidR="00521442">
        <w:rPr>
          <w:sz w:val="24"/>
          <w:szCs w:val="24"/>
        </w:rPr>
        <w:t>М.Б.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CFCB75A" w14:textId="56F85548" w:rsidR="00521442" w:rsidRDefault="00CD0216" w:rsidP="00521442">
      <w:pPr>
        <w:ind w:firstLine="708"/>
        <w:jc w:val="both"/>
        <w:rPr>
          <w:shd w:val="clear" w:color="auto" w:fill="FFFFFF"/>
        </w:rPr>
      </w:pPr>
      <w:r>
        <w:t>Как указывает</w:t>
      </w:r>
      <w:r w:rsidR="0051750D">
        <w:t>ся</w:t>
      </w:r>
      <w:r>
        <w:t xml:space="preserve"> в представлении, </w:t>
      </w:r>
      <w:r w:rsidR="00521442">
        <w:t>имеются основания полагать, что адвокат в нарушение нормы пп.1 п.1 ст.9 КПЭА, Правил АПКО по исполнению Порядка назначения адвокатов в качестве защитников в уголовном судопроизводстве, утверждённого Решением Совета ФПА РФ от 15.03.2019 г.</w:t>
      </w:r>
      <w:r w:rsidR="00521442">
        <w:rPr>
          <w:szCs w:val="24"/>
          <w:shd w:val="clear" w:color="auto" w:fill="FFFFFF"/>
        </w:rPr>
        <w:t xml:space="preserve">, </w:t>
      </w:r>
      <w:r w:rsidR="00521442">
        <w:rPr>
          <w:shd w:val="clear" w:color="auto" w:fill="FFFFFF"/>
        </w:rPr>
        <w:t xml:space="preserve">действовала вопреки законным интересам доверителя, оказывая ему юридическую помощь, не имея законных оснований для принятия поручения на защиту, так как </w:t>
      </w:r>
      <w:r w:rsidR="00521442" w:rsidRPr="00795607">
        <w:rPr>
          <w:shd w:val="clear" w:color="auto" w:fill="FFFFFF"/>
        </w:rPr>
        <w:t>Центр субсидируемой юридической помощи АП</w:t>
      </w:r>
      <w:r w:rsidR="00521442">
        <w:rPr>
          <w:shd w:val="clear" w:color="auto" w:fill="FFFFFF"/>
        </w:rPr>
        <w:t>К</w:t>
      </w:r>
      <w:r w:rsidR="00521442" w:rsidRPr="00795607">
        <w:rPr>
          <w:shd w:val="clear" w:color="auto" w:fill="FFFFFF"/>
        </w:rPr>
        <w:t>О не распределял адвокату</w:t>
      </w:r>
      <w:r w:rsidR="00521442">
        <w:t xml:space="preserve"> М</w:t>
      </w:r>
      <w:r w:rsidR="00DD7437">
        <w:t>.</w:t>
      </w:r>
      <w:r w:rsidR="00521442">
        <w:t>М.Б.</w:t>
      </w:r>
      <w:r w:rsidR="00521442" w:rsidRPr="00795607">
        <w:rPr>
          <w:shd w:val="clear" w:color="auto" w:fill="FFFFFF"/>
        </w:rPr>
        <w:t xml:space="preserve"> требовани</w:t>
      </w:r>
      <w:r w:rsidR="00521442">
        <w:rPr>
          <w:shd w:val="clear" w:color="auto" w:fill="FFFFFF"/>
        </w:rPr>
        <w:t xml:space="preserve">я </w:t>
      </w:r>
      <w:r w:rsidR="00521442" w:rsidRPr="00795607">
        <w:rPr>
          <w:shd w:val="clear" w:color="auto" w:fill="FFFFFF"/>
        </w:rPr>
        <w:t>на</w:t>
      </w:r>
      <w:r w:rsidR="00521442">
        <w:rPr>
          <w:shd w:val="clear" w:color="auto" w:fill="FFFFFF"/>
        </w:rPr>
        <w:t xml:space="preserve"> </w:t>
      </w:r>
      <w:r w:rsidR="00521442" w:rsidRPr="00795607">
        <w:rPr>
          <w:shd w:val="clear" w:color="auto" w:fill="FFFFFF"/>
        </w:rPr>
        <w:t>защиту</w:t>
      </w:r>
      <w:r w:rsidR="00521442">
        <w:rPr>
          <w:shd w:val="clear" w:color="auto" w:fill="FFFFFF"/>
        </w:rPr>
        <w:t xml:space="preserve"> Х</w:t>
      </w:r>
      <w:r w:rsidR="00DD7437">
        <w:rPr>
          <w:shd w:val="clear" w:color="auto" w:fill="FFFFFF"/>
        </w:rPr>
        <w:t>.</w:t>
      </w:r>
      <w:r w:rsidR="00521442">
        <w:rPr>
          <w:shd w:val="clear" w:color="auto" w:fill="FFFFFF"/>
        </w:rPr>
        <w:t>Е.О.</w:t>
      </w:r>
    </w:p>
    <w:p w14:paraId="418782C4" w14:textId="5AD6B793" w:rsidR="00521442" w:rsidRDefault="00521442" w:rsidP="0052144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К представлению приложено обращение адвоката З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>Н.И. в Совет АПКО, в котором сообщается, что 06.10.2022 г. при ознакомлении с материалами уголовного дела по обвинению Х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>Е.О. адвокат установила, что его защиту на предварительном следствии осуществляла адвокат М</w:t>
      </w:r>
      <w:r w:rsidR="00DD7437">
        <w:rPr>
          <w:shd w:val="clear" w:color="auto" w:fill="FFFFFF"/>
        </w:rPr>
        <w:t>.</w:t>
      </w:r>
      <w:r w:rsidR="00547A4E">
        <w:rPr>
          <w:shd w:val="clear" w:color="auto" w:fill="FFFFFF"/>
        </w:rPr>
        <w:t>М.Б., которая представила ордер, содержащий в качестве основания выдачи указание на ст. 50 УПК РФ, хотя по сообщению колл-центра поручение на защиту данному адвокату не распределялось.</w:t>
      </w:r>
    </w:p>
    <w:p w14:paraId="4C776381" w14:textId="3B5F3FF3" w:rsidR="00547A4E" w:rsidRDefault="00547A4E" w:rsidP="00521442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К обращению приложены копии следующих документов:</w:t>
      </w:r>
    </w:p>
    <w:p w14:paraId="502514C2" w14:textId="08E359A4" w:rsidR="00547A4E" w:rsidRDefault="00547A4E" w:rsidP="00547A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 постановление следователя от 24.08.2022 г. о назначении защитника М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>М.Б.;</w:t>
      </w:r>
    </w:p>
    <w:p w14:paraId="1E793B10" w14:textId="2D429921" w:rsidR="00547A4E" w:rsidRDefault="00547A4E" w:rsidP="00547A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 ордера адвоката М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>М.Б. на защиту Х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>Е.О. от 24.08.2022 г.</w:t>
      </w:r>
      <w:r w:rsidR="0091199F">
        <w:rPr>
          <w:shd w:val="clear" w:color="auto" w:fill="FFFFFF"/>
        </w:rPr>
        <w:t xml:space="preserve"> (основание выдачи ст. 50 УПК РФ)</w:t>
      </w:r>
      <w:r>
        <w:rPr>
          <w:shd w:val="clear" w:color="auto" w:fill="FFFFFF"/>
        </w:rPr>
        <w:t>;</w:t>
      </w:r>
    </w:p>
    <w:p w14:paraId="75824602" w14:textId="6D97929F" w:rsidR="00547A4E" w:rsidRDefault="00547A4E" w:rsidP="00547A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 справки оператора АРПН КИС АР (требование от следователя не поступало и адвокату М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>М.Б.) не распределялось.</w:t>
      </w:r>
    </w:p>
    <w:p w14:paraId="5E508D26" w14:textId="0450046C" w:rsidR="0091199F" w:rsidRDefault="0091199F" w:rsidP="00547A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Адвокатом представлены письменные объяснения, в которых она сообщает, что действия по направлению материалов, по которым вынесено представление 1-го Вице-президента АПМО, из АПКО в АПМО противоречат закону, поэтому она подала жалобу в Л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 xml:space="preserve"> районный суд г. К. Жалоба должна была рассматриваться в дисциплинарных органах АПКО. Сведения не проверены, поскольку между ней и Х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>Е.О. был заключён договор на защиту на предварительном следствии от 22.08.2022 г.</w:t>
      </w:r>
    </w:p>
    <w:p w14:paraId="095AEECE" w14:textId="616973A7" w:rsidR="0091199F" w:rsidRDefault="0091199F" w:rsidP="00547A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К письменным объяснениям адвоката приложены копии следующих документов:</w:t>
      </w:r>
    </w:p>
    <w:p w14:paraId="2586C388" w14:textId="27FA9CD4" w:rsidR="0091199F" w:rsidRDefault="0091199F" w:rsidP="00547A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 искового заявления адвоката;</w:t>
      </w:r>
    </w:p>
    <w:p w14:paraId="777CA815" w14:textId="2F164002" w:rsidR="0091199F" w:rsidRDefault="0091199F" w:rsidP="00547A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- договора поручения на защиту Х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>Е.О. на предварительном следствии от 22.09.2022 г. (сумма вознаграждения 20 000 рублей).</w:t>
      </w:r>
    </w:p>
    <w:p w14:paraId="3E63C456" w14:textId="05405D24" w:rsidR="00157227" w:rsidRDefault="00157227" w:rsidP="00547A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ab/>
        <w:t>В заседании Комиссии адвокат поддержала доводы, изложенные в письменных объяснениях. На вопросы членов Комиссии адвокат пояснила, что З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 xml:space="preserve">Н.И. без разрешения сфотографировала материалы уголовного дела. После введения системы КИС АР стали уходить </w:t>
      </w:r>
      <w:proofErr w:type="spellStart"/>
      <w:r>
        <w:rPr>
          <w:shd w:val="clear" w:color="auto" w:fill="FFFFFF"/>
        </w:rPr>
        <w:t>стажированные</w:t>
      </w:r>
      <w:proofErr w:type="spellEnd"/>
      <w:r>
        <w:rPr>
          <w:shd w:val="clear" w:color="auto" w:fill="FFFFFF"/>
        </w:rPr>
        <w:t xml:space="preserve"> адвокаты, потому что система не работает. </w:t>
      </w:r>
    </w:p>
    <w:p w14:paraId="31AA10E5" w14:textId="51588576" w:rsidR="00157227" w:rsidRDefault="00157227" w:rsidP="00547A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Х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>Е.О. обратился к адвокату за два дня до следственных действий. Они заключили соглашение. Доверитель не заплатил вознаграждения, поэтому соглашение не было заключено. При этом, Х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>Е.О. очень упрашивал адвоката, чтобы она его защищала. Тогда адвокат решила, что будет его защищать по назначению, в порядке ст. 51 УПК РФ, о чём и было указано в ордере. Х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>Е.О. адвокат сообщила, что не будет подавать заявление об оплате труда адвоката за счёт средств федерального бюджета, если он внесёт вознаграждение. Х</w:t>
      </w:r>
      <w:r w:rsidR="00DD7437">
        <w:rPr>
          <w:shd w:val="clear" w:color="auto" w:fill="FFFFFF"/>
        </w:rPr>
        <w:t>.</w:t>
      </w:r>
      <w:r>
        <w:rPr>
          <w:shd w:val="clear" w:color="auto" w:fill="FFFFFF"/>
        </w:rPr>
        <w:t>Е.О. ничего не заплатил, поэтому адвокат подала такое заявление и получила оплату за счёт федерального бюджета в размере 6 000 рублей.</w:t>
      </w:r>
    </w:p>
    <w:p w14:paraId="6F92919C" w14:textId="77777777" w:rsidR="00157227" w:rsidRDefault="00157227" w:rsidP="00547A4E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Рассмотрев доводы представления и прилагаемых к нему документов, письменных объяснений, заслушав адвоката, Комиссия приходит к следующим выводам.</w:t>
      </w:r>
    </w:p>
    <w:p w14:paraId="2EFA1CEF" w14:textId="65BB79B1" w:rsidR="0098348A" w:rsidRDefault="0098348A" w:rsidP="0098348A">
      <w:pPr>
        <w:ind w:firstLine="708"/>
        <w:jc w:val="both"/>
        <w:rPr>
          <w:szCs w:val="24"/>
        </w:rPr>
      </w:pPr>
      <w:r w:rsidRPr="00916EA5">
        <w:rPr>
          <w:szCs w:val="24"/>
        </w:rPr>
        <w:t xml:space="preserve">В силу </w:t>
      </w:r>
      <w:proofErr w:type="spellStart"/>
      <w:r w:rsidRPr="00916EA5">
        <w:rPr>
          <w:szCs w:val="24"/>
        </w:rPr>
        <w:t>пп</w:t>
      </w:r>
      <w:proofErr w:type="spellEnd"/>
      <w:r w:rsidRPr="00916EA5">
        <w:rPr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5642281" w14:textId="79ABCD73" w:rsidR="0098348A" w:rsidRPr="0098348A" w:rsidRDefault="0098348A" w:rsidP="0098348A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131B3C1E" w14:textId="77777777" w:rsidR="0098348A" w:rsidRDefault="0098348A" w:rsidP="0098348A">
      <w:pPr>
        <w:jc w:val="both"/>
      </w:pPr>
      <w:r>
        <w:rPr>
          <w:szCs w:val="24"/>
        </w:rPr>
        <w:tab/>
      </w:r>
      <w:r w:rsidRPr="008D60DE">
        <w:t xml:space="preserve">В силу </w:t>
      </w:r>
      <w:proofErr w:type="spellStart"/>
      <w:r w:rsidRPr="008D60DE">
        <w:t>п.п</w:t>
      </w:r>
      <w:proofErr w:type="spellEnd"/>
      <w:r w:rsidRPr="008D60DE">
        <w:t>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РФ, Федеральной палаты адвокатов Р</w:t>
      </w:r>
      <w:r>
        <w:t>Ф</w:t>
      </w:r>
      <w:r w:rsidRPr="008D60DE">
        <w:t>, принятые в пределах их компетенции.</w:t>
      </w:r>
    </w:p>
    <w:p w14:paraId="16DDFE87" w14:textId="766A7037" w:rsidR="0098348A" w:rsidRDefault="0098348A" w:rsidP="0098348A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А</w:t>
      </w:r>
      <w:r w:rsidRPr="00DA0D7C">
        <w:rPr>
          <w:rFonts w:eastAsia="Calibri"/>
          <w:color w:val="auto"/>
          <w:szCs w:val="24"/>
        </w:rPr>
        <w:t>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</w:t>
      </w:r>
      <w:r>
        <w:rPr>
          <w:rFonts w:eastAsia="Calibri"/>
          <w:color w:val="auto"/>
          <w:szCs w:val="24"/>
        </w:rPr>
        <w:t xml:space="preserve"> (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9 п. 1 ст. 9 КПЭА). Кроме того, адвокат не вправе принимать поручения на защиту, руководствуясь соображениями собственной выгоды и (или) безнравственным интересом (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>. 1 п. 1 ст. 9 К</w:t>
      </w:r>
      <w:r w:rsidR="00B95962">
        <w:rPr>
          <w:rFonts w:eastAsia="Calibri"/>
          <w:color w:val="auto"/>
          <w:szCs w:val="24"/>
        </w:rPr>
        <w:t>П</w:t>
      </w:r>
      <w:r>
        <w:rPr>
          <w:rFonts w:eastAsia="Calibri"/>
          <w:color w:val="auto"/>
          <w:szCs w:val="24"/>
        </w:rPr>
        <w:t>ЭА).</w:t>
      </w:r>
    </w:p>
    <w:p w14:paraId="5D7A3A49" w14:textId="77777777" w:rsidR="0098348A" w:rsidRPr="00D629D6" w:rsidRDefault="0098348A" w:rsidP="0098348A">
      <w:pPr>
        <w:pStyle w:val="af8"/>
        <w:ind w:firstLine="708"/>
        <w:jc w:val="both"/>
      </w:pPr>
      <w:r w:rsidRPr="00D629D6">
        <w:t>Основанием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</w:t>
      </w:r>
      <w:r>
        <w:t xml:space="preserve"> (п. 1 Стандарта осуществления адвокатом защиты в уголовном судопроизводстве (принят </w:t>
      </w:r>
      <w:r>
        <w:rPr>
          <w:lang w:val="en-US"/>
        </w:rPr>
        <w:t>VIII</w:t>
      </w:r>
      <w:r w:rsidRPr="00D629D6">
        <w:t xml:space="preserve"> </w:t>
      </w:r>
      <w:r>
        <w:t>Всероссийским съездом адвокатов))</w:t>
      </w:r>
      <w:r w:rsidRPr="00D629D6">
        <w:t>.</w:t>
      </w:r>
    </w:p>
    <w:p w14:paraId="50E9C495" w14:textId="45DFAE90" w:rsidR="005E06DF" w:rsidRDefault="0098348A" w:rsidP="0098348A">
      <w:pPr>
        <w:pStyle w:val="af8"/>
        <w:jc w:val="both"/>
      </w:pPr>
      <w:r>
        <w:rPr>
          <w:rFonts w:eastAsia="Calibri"/>
          <w:color w:val="auto"/>
        </w:rPr>
        <w:tab/>
      </w:r>
      <w:r w:rsidRPr="00F663E5">
        <w:rPr>
          <w:rFonts w:eastAsia="Calibri"/>
        </w:rPr>
        <w:t xml:space="preserve">Согласно </w:t>
      </w:r>
      <w:proofErr w:type="spellStart"/>
      <w:r w:rsidRPr="00F663E5">
        <w:rPr>
          <w:rFonts w:eastAsia="Calibri"/>
        </w:rPr>
        <w:t>абз</w:t>
      </w:r>
      <w:proofErr w:type="spellEnd"/>
      <w:r w:rsidRPr="00F663E5">
        <w:rPr>
          <w:rFonts w:eastAsia="Calibri"/>
        </w:rPr>
        <w:t>. 2 п. 4.1 Порядка назначения адвокатов в качестве защитников в уголовном судопроизводстве</w:t>
      </w:r>
      <w:r>
        <w:rPr>
          <w:rFonts w:eastAsia="Calibri"/>
        </w:rPr>
        <w:t xml:space="preserve"> (утв. Решением Совета ФПА РФ от 15.03.2019 г. (</w:t>
      </w:r>
      <w:proofErr w:type="spellStart"/>
      <w:r>
        <w:rPr>
          <w:rFonts w:eastAsia="Calibri"/>
        </w:rPr>
        <w:t>прот</w:t>
      </w:r>
      <w:proofErr w:type="spellEnd"/>
      <w:r>
        <w:rPr>
          <w:rFonts w:eastAsia="Calibri"/>
        </w:rPr>
        <w:t>. № 4)</w:t>
      </w:r>
      <w:r w:rsidRPr="00F663E5">
        <w:rPr>
          <w:rFonts w:eastAsia="Calibri"/>
        </w:rPr>
        <w:t xml:space="preserve">, </w:t>
      </w:r>
      <w:r w:rsidRPr="00F663E5">
        <w:t>дознаватель, следователь или суд уведомляют адвокатскую палату (представителей адвокатской палаты) с целью назначения в качестве защитника по уголовному делу того адвоката, которому адвокатская палата (представители адвокатской палаты) поручит участие в данном уголовном деле.</w:t>
      </w:r>
      <w:r>
        <w:t xml:space="preserve"> Процесс назначения защитника описывается в разд. 5 Порядка. Он не предусматривает, что в случае невнесения доверителем вознаграждения по соглашению об оказании юридической помощи, основание участия адвоката в деле автоматически меняется на назначение в порядке ст. 51 УПК РФ. Кроме того, адвокат не отрицает, что </w:t>
      </w:r>
      <w:r w:rsidR="005E06DF">
        <w:t xml:space="preserve">при наличии неоплаченного доверителем соглашения, она обратилась с </w:t>
      </w:r>
      <w:r w:rsidR="005E06DF">
        <w:lastRenderedPageBreak/>
        <w:t xml:space="preserve">заявлением об оплате её участия в деле за счёт средств федерального бюджета и данное заявление было удовлетворено. </w:t>
      </w:r>
    </w:p>
    <w:p w14:paraId="3138AD12" w14:textId="7273F72A" w:rsidR="00636B93" w:rsidRDefault="00636B93" w:rsidP="0098348A">
      <w:pPr>
        <w:pStyle w:val="af8"/>
        <w:jc w:val="both"/>
      </w:pPr>
      <w:r>
        <w:tab/>
        <w:t>Участие адвоката в защите именно в порядке ст. 51 УПК РФ, а не по соглашению, дополнительно подтверждается постановлением следователя о назначении защитника Х</w:t>
      </w:r>
      <w:r w:rsidR="00DD7437">
        <w:t>.</w:t>
      </w:r>
      <w:r>
        <w:t>Е.О. и указанием адвокатом в ордере в качестве основание для его выдачи ст. 50 УПК РФ.</w:t>
      </w:r>
    </w:p>
    <w:p w14:paraId="04140906" w14:textId="405CDEE4" w:rsidR="0098348A" w:rsidRDefault="005E06DF" w:rsidP="005E06DF">
      <w:pPr>
        <w:pStyle w:val="af8"/>
        <w:ind w:firstLine="708"/>
        <w:jc w:val="both"/>
      </w:pPr>
      <w:r>
        <w:t>Такое поведение адвоката свидетельствует о недостаточном понимании им основ адвокатской деятельности, грубом нарушении порядка участия защитника в делах по назначению и подрыве доверия.</w:t>
      </w:r>
      <w:r w:rsidR="00636B93">
        <w:t xml:space="preserve"> </w:t>
      </w:r>
    </w:p>
    <w:p w14:paraId="67C1B692" w14:textId="7B092E27" w:rsidR="005E06DF" w:rsidRDefault="005E06DF" w:rsidP="005E06DF">
      <w:pPr>
        <w:pStyle w:val="af8"/>
        <w:ind w:firstLine="708"/>
        <w:jc w:val="both"/>
        <w:rPr>
          <w:szCs w:val="24"/>
        </w:rPr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916EA5">
        <w:rPr>
          <w:szCs w:val="24"/>
        </w:rPr>
        <w:t>пп</w:t>
      </w:r>
      <w:proofErr w:type="spellEnd"/>
      <w:r w:rsidRPr="00916EA5">
        <w:rPr>
          <w:szCs w:val="24"/>
        </w:rPr>
        <w:t xml:space="preserve">. 1 п. 1 ст. 7 ФЗ «Об адвокатской деятельности и адвокатуре в РФ», </w:t>
      </w:r>
      <w:r>
        <w:rPr>
          <w:szCs w:val="24"/>
        </w:rPr>
        <w:t xml:space="preserve">п. 2 ст. 5, </w:t>
      </w:r>
      <w:r w:rsidRPr="00916EA5">
        <w:rPr>
          <w:szCs w:val="24"/>
        </w:rPr>
        <w:t>п. 1 ст. 8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>. 1 и 9 п. 1 ст. 9</w:t>
      </w:r>
      <w:r w:rsidRPr="00916EA5">
        <w:rPr>
          <w:szCs w:val="24"/>
        </w:rPr>
        <w:t xml:space="preserve"> КПЭА</w:t>
      </w:r>
      <w:r>
        <w:rPr>
          <w:szCs w:val="24"/>
        </w:rPr>
        <w:t>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744BC06D" w14:textId="1FAC1A4F" w:rsidR="005E06DF" w:rsidRDefault="00575970" w:rsidP="00575970">
      <w:pPr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</w:t>
      </w:r>
      <w:r w:rsidR="005E06DF">
        <w:rPr>
          <w:rFonts w:eastAsia="Calibri"/>
          <w:color w:val="auto"/>
          <w:szCs w:val="24"/>
        </w:rPr>
        <w:t>наличии в действиях адвоката М</w:t>
      </w:r>
      <w:r w:rsidR="00DD7437">
        <w:rPr>
          <w:rFonts w:eastAsia="Calibri"/>
          <w:color w:val="auto"/>
          <w:szCs w:val="24"/>
        </w:rPr>
        <w:t>.</w:t>
      </w:r>
      <w:r w:rsidR="005E06DF">
        <w:rPr>
          <w:rFonts w:eastAsia="Calibri"/>
          <w:color w:val="auto"/>
          <w:szCs w:val="24"/>
        </w:rPr>
        <w:t>М</w:t>
      </w:r>
      <w:r w:rsidR="00DD7437">
        <w:rPr>
          <w:rFonts w:eastAsia="Calibri"/>
          <w:color w:val="auto"/>
          <w:szCs w:val="24"/>
        </w:rPr>
        <w:t>.</w:t>
      </w:r>
      <w:r w:rsidR="005E06DF">
        <w:rPr>
          <w:rFonts w:eastAsia="Calibri"/>
          <w:color w:val="auto"/>
          <w:szCs w:val="24"/>
        </w:rPr>
        <w:t>Б</w:t>
      </w:r>
      <w:r w:rsidR="00DD7437">
        <w:rPr>
          <w:rFonts w:eastAsia="Calibri"/>
          <w:color w:val="auto"/>
          <w:szCs w:val="24"/>
        </w:rPr>
        <w:t>.</w:t>
      </w:r>
      <w:r w:rsidR="005E06DF">
        <w:rPr>
          <w:rFonts w:eastAsia="Calibri"/>
          <w:color w:val="auto"/>
          <w:szCs w:val="24"/>
        </w:rPr>
        <w:t xml:space="preserve"> нарушения </w:t>
      </w:r>
      <w:proofErr w:type="spellStart"/>
      <w:r w:rsidR="005E06DF" w:rsidRPr="00916EA5">
        <w:rPr>
          <w:szCs w:val="24"/>
        </w:rPr>
        <w:t>пп</w:t>
      </w:r>
      <w:proofErr w:type="spellEnd"/>
      <w:r w:rsidR="005E06DF" w:rsidRPr="00916EA5">
        <w:rPr>
          <w:szCs w:val="24"/>
        </w:rPr>
        <w:t xml:space="preserve">. 1 п. 1 ст. 7 ФЗ «Об адвокатской деятельности и адвокатуре в РФ», </w:t>
      </w:r>
      <w:r w:rsidR="005E06DF">
        <w:rPr>
          <w:szCs w:val="24"/>
        </w:rPr>
        <w:t xml:space="preserve">п. 2 ст. 5, </w:t>
      </w:r>
      <w:r w:rsidR="005E06DF" w:rsidRPr="00916EA5">
        <w:rPr>
          <w:szCs w:val="24"/>
        </w:rPr>
        <w:t>п. 1 ст. 8</w:t>
      </w:r>
      <w:r w:rsidR="005E06DF">
        <w:rPr>
          <w:szCs w:val="24"/>
        </w:rPr>
        <w:t xml:space="preserve">, </w:t>
      </w:r>
      <w:proofErr w:type="spellStart"/>
      <w:r w:rsidR="005E06DF">
        <w:rPr>
          <w:szCs w:val="24"/>
        </w:rPr>
        <w:t>пп</w:t>
      </w:r>
      <w:proofErr w:type="spellEnd"/>
      <w:r w:rsidR="005E06DF">
        <w:rPr>
          <w:szCs w:val="24"/>
        </w:rPr>
        <w:t>. 1 и 9 п. 1 ст. 9</w:t>
      </w:r>
      <w:r w:rsidR="005E06DF" w:rsidRPr="00916EA5">
        <w:rPr>
          <w:szCs w:val="24"/>
        </w:rPr>
        <w:t xml:space="preserve"> КПЭА</w:t>
      </w:r>
      <w:r w:rsidR="00776DE1">
        <w:rPr>
          <w:szCs w:val="24"/>
        </w:rPr>
        <w:t>, выразившегося в том, что адвокат самостоятельно приняла решение об участии в защите Х</w:t>
      </w:r>
      <w:r w:rsidR="00DD7437">
        <w:rPr>
          <w:szCs w:val="24"/>
        </w:rPr>
        <w:t>.</w:t>
      </w:r>
      <w:r w:rsidR="00776DE1">
        <w:rPr>
          <w:szCs w:val="24"/>
        </w:rPr>
        <w:t>Е.О. в порядке ст. 50-51 УПК РФ, в обход установленного порядка распределения заявок по назначению адвоката в порядке ст. 51 УПК РФ.</w:t>
      </w:r>
    </w:p>
    <w:p w14:paraId="4863D0FB" w14:textId="77777777" w:rsidR="005E06DF" w:rsidRDefault="005E06DF" w:rsidP="00575970">
      <w:pPr>
        <w:jc w:val="both"/>
        <w:rPr>
          <w:rFonts w:eastAsia="Calibri"/>
          <w:color w:val="auto"/>
          <w:szCs w:val="24"/>
        </w:rPr>
      </w:pPr>
    </w:p>
    <w:p w14:paraId="56944E7B" w14:textId="6DAFAFDC" w:rsidR="00575970" w:rsidRDefault="00575970" w:rsidP="00575970">
      <w:pPr>
        <w:jc w:val="both"/>
        <w:rPr>
          <w:rFonts w:eastAsia="Calibri"/>
          <w:color w:val="auto"/>
          <w:szCs w:val="24"/>
        </w:rPr>
      </w:pP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A389" w14:textId="77777777" w:rsidR="00814B8A" w:rsidRDefault="00814B8A">
      <w:r>
        <w:separator/>
      </w:r>
    </w:p>
  </w:endnote>
  <w:endnote w:type="continuationSeparator" w:id="0">
    <w:p w14:paraId="2DE81556" w14:textId="77777777" w:rsidR="00814B8A" w:rsidRDefault="0081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98D1" w14:textId="77777777" w:rsidR="00814B8A" w:rsidRDefault="00814B8A">
      <w:r>
        <w:separator/>
      </w:r>
    </w:p>
  </w:footnote>
  <w:footnote w:type="continuationSeparator" w:id="0">
    <w:p w14:paraId="15883036" w14:textId="77777777" w:rsidR="00814B8A" w:rsidRDefault="0081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370367">
    <w:abstractNumId w:val="19"/>
  </w:num>
  <w:num w:numId="2" w16cid:durableId="440420863">
    <w:abstractNumId w:val="8"/>
  </w:num>
  <w:num w:numId="3" w16cid:durableId="1110658803">
    <w:abstractNumId w:val="21"/>
  </w:num>
  <w:num w:numId="4" w16cid:durableId="1139999590">
    <w:abstractNumId w:val="0"/>
  </w:num>
  <w:num w:numId="5" w16cid:durableId="935482896">
    <w:abstractNumId w:val="1"/>
  </w:num>
  <w:num w:numId="6" w16cid:durableId="414328081">
    <w:abstractNumId w:val="10"/>
  </w:num>
  <w:num w:numId="7" w16cid:durableId="1795522254">
    <w:abstractNumId w:val="11"/>
  </w:num>
  <w:num w:numId="8" w16cid:durableId="1607032182">
    <w:abstractNumId w:val="6"/>
  </w:num>
  <w:num w:numId="9" w16cid:durableId="173731869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46037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855848">
    <w:abstractNumId w:val="23"/>
  </w:num>
  <w:num w:numId="12" w16cid:durableId="992568133">
    <w:abstractNumId w:val="3"/>
  </w:num>
  <w:num w:numId="13" w16cid:durableId="1774861015">
    <w:abstractNumId w:val="16"/>
  </w:num>
  <w:num w:numId="14" w16cid:durableId="544412861">
    <w:abstractNumId w:val="20"/>
  </w:num>
  <w:num w:numId="15" w16cid:durableId="21372143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2191418">
    <w:abstractNumId w:val="2"/>
  </w:num>
  <w:num w:numId="17" w16cid:durableId="20684099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3276570">
    <w:abstractNumId w:val="17"/>
  </w:num>
  <w:num w:numId="19" w16cid:durableId="112092885">
    <w:abstractNumId w:val="15"/>
  </w:num>
  <w:num w:numId="20" w16cid:durableId="1033336868">
    <w:abstractNumId w:val="9"/>
  </w:num>
  <w:num w:numId="21" w16cid:durableId="1855412271">
    <w:abstractNumId w:val="12"/>
  </w:num>
  <w:num w:numId="22" w16cid:durableId="974874371">
    <w:abstractNumId w:val="14"/>
  </w:num>
  <w:num w:numId="23" w16cid:durableId="994146379">
    <w:abstractNumId w:val="18"/>
  </w:num>
  <w:num w:numId="24" w16cid:durableId="674460147">
    <w:abstractNumId w:val="4"/>
  </w:num>
  <w:num w:numId="25" w16cid:durableId="557591665">
    <w:abstractNumId w:val="13"/>
  </w:num>
  <w:num w:numId="26" w16cid:durableId="2136174846">
    <w:abstractNumId w:val="22"/>
  </w:num>
  <w:num w:numId="27" w16cid:durableId="2085103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0869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5B5"/>
    <w:rsid w:val="00141EF4"/>
    <w:rsid w:val="00143112"/>
    <w:rsid w:val="00143841"/>
    <w:rsid w:val="00143930"/>
    <w:rsid w:val="001442ED"/>
    <w:rsid w:val="001459BF"/>
    <w:rsid w:val="001516BC"/>
    <w:rsid w:val="00152714"/>
    <w:rsid w:val="00153AAE"/>
    <w:rsid w:val="00153E14"/>
    <w:rsid w:val="0015469C"/>
    <w:rsid w:val="00157227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2188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6E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B64B1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3F80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B84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1750D"/>
    <w:rsid w:val="00520C6E"/>
    <w:rsid w:val="00521442"/>
    <w:rsid w:val="0052158B"/>
    <w:rsid w:val="00521F19"/>
    <w:rsid w:val="005226B0"/>
    <w:rsid w:val="00523C00"/>
    <w:rsid w:val="005258E8"/>
    <w:rsid w:val="00525B23"/>
    <w:rsid w:val="00525D41"/>
    <w:rsid w:val="00526BB4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47A4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6DF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6B0A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B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1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9DD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504C"/>
    <w:rsid w:val="008072D5"/>
    <w:rsid w:val="00810A38"/>
    <w:rsid w:val="00814621"/>
    <w:rsid w:val="00814B8A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153"/>
    <w:rsid w:val="008572B6"/>
    <w:rsid w:val="0086048C"/>
    <w:rsid w:val="008604B8"/>
    <w:rsid w:val="008605DA"/>
    <w:rsid w:val="0086566D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48C4"/>
    <w:rsid w:val="008A5C8E"/>
    <w:rsid w:val="008A6325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199F"/>
    <w:rsid w:val="00912660"/>
    <w:rsid w:val="009130D1"/>
    <w:rsid w:val="00913ACF"/>
    <w:rsid w:val="009215C0"/>
    <w:rsid w:val="00921E46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348A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E9"/>
    <w:rsid w:val="00A4313B"/>
    <w:rsid w:val="00A4375B"/>
    <w:rsid w:val="00A45119"/>
    <w:rsid w:val="00A457E1"/>
    <w:rsid w:val="00A475C8"/>
    <w:rsid w:val="00A5037F"/>
    <w:rsid w:val="00A50526"/>
    <w:rsid w:val="00A50A5D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A3"/>
    <w:rsid w:val="00B75889"/>
    <w:rsid w:val="00B759D5"/>
    <w:rsid w:val="00B813A8"/>
    <w:rsid w:val="00B81612"/>
    <w:rsid w:val="00B81651"/>
    <w:rsid w:val="00B82615"/>
    <w:rsid w:val="00B8471F"/>
    <w:rsid w:val="00B907EC"/>
    <w:rsid w:val="00B90E2E"/>
    <w:rsid w:val="00B95962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529B"/>
    <w:rsid w:val="00CC60CA"/>
    <w:rsid w:val="00CC6242"/>
    <w:rsid w:val="00CD021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0A06"/>
    <w:rsid w:val="00DD488F"/>
    <w:rsid w:val="00DD7437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  <w:style w:type="paragraph" w:styleId="af8">
    <w:name w:val="No Spacing"/>
    <w:uiPriority w:val="1"/>
    <w:qFormat/>
    <w:rsid w:val="0098348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1178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2023-03-10T08:51:00Z</cp:lastPrinted>
  <dcterms:created xsi:type="dcterms:W3CDTF">2023-03-10T08:51:00Z</dcterms:created>
  <dcterms:modified xsi:type="dcterms:W3CDTF">2023-03-14T13:56:00Z</dcterms:modified>
</cp:coreProperties>
</file>