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4F3" w14:textId="77777777" w:rsidR="00F66545" w:rsidRDefault="00D61DB3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14:paraId="02944871" w14:textId="77777777" w:rsidR="00F66545" w:rsidRDefault="00D61DB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14:paraId="3540530E" w14:textId="29485733" w:rsidR="00F66545" w:rsidRDefault="00D61DB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дисциплинарному производству № </w:t>
      </w:r>
      <w:r w:rsidR="005C53DF">
        <w:rPr>
          <w:b w:val="0"/>
          <w:sz w:val="24"/>
          <w:szCs w:val="24"/>
        </w:rPr>
        <w:t>34-12</w:t>
      </w:r>
      <w:r>
        <w:rPr>
          <w:b w:val="0"/>
          <w:sz w:val="24"/>
          <w:szCs w:val="24"/>
        </w:rPr>
        <w:t>/25</w:t>
      </w:r>
    </w:p>
    <w:p w14:paraId="69EAC4B7" w14:textId="77777777" w:rsidR="00F66545" w:rsidRDefault="00D61DB3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14:paraId="34A76807" w14:textId="4418F90F" w:rsidR="00F66545" w:rsidRDefault="00D61DB3">
      <w:pPr>
        <w:tabs>
          <w:tab w:val="left" w:pos="3828"/>
        </w:tabs>
        <w:jc w:val="center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Л</w:t>
      </w:r>
      <w:r w:rsidR="00310406">
        <w:rPr>
          <w:rFonts w:eastAsia="Calibri"/>
          <w:color w:val="auto"/>
          <w:szCs w:val="24"/>
        </w:rPr>
        <w:t>.Ю.В.</w:t>
      </w:r>
    </w:p>
    <w:p w14:paraId="7B2C6701" w14:textId="77777777" w:rsidR="00F66545" w:rsidRDefault="00F66545">
      <w:pPr>
        <w:tabs>
          <w:tab w:val="left" w:pos="3828"/>
        </w:tabs>
        <w:jc w:val="center"/>
        <w:rPr>
          <w:rFonts w:eastAsia="Calibri"/>
          <w:color w:val="auto"/>
          <w:szCs w:val="24"/>
        </w:rPr>
      </w:pPr>
    </w:p>
    <w:p w14:paraId="424660EE" w14:textId="77777777" w:rsidR="00F66545" w:rsidRDefault="00D61DB3">
      <w:pPr>
        <w:tabs>
          <w:tab w:val="left" w:pos="3828"/>
        </w:tabs>
        <w:jc w:val="center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23 декабря 2025 года</w:t>
      </w:r>
    </w:p>
    <w:p w14:paraId="0C60A1B1" w14:textId="77777777" w:rsidR="00F66545" w:rsidRDefault="00F66545">
      <w:pPr>
        <w:tabs>
          <w:tab w:val="left" w:pos="3828"/>
        </w:tabs>
        <w:jc w:val="both"/>
        <w:rPr>
          <w:szCs w:val="24"/>
        </w:rPr>
      </w:pPr>
    </w:p>
    <w:p w14:paraId="214CCD78" w14:textId="77777777" w:rsidR="00F66545" w:rsidRDefault="00D61DB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1EB8DFA5" w14:textId="77777777" w:rsidR="00F66545" w:rsidRDefault="00D61DB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Председателя Комиссии Мещерякова М.Н.,</w:t>
      </w:r>
    </w:p>
    <w:p w14:paraId="6AB62326" w14:textId="77777777" w:rsidR="00F66545" w:rsidRDefault="00D61DB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членов Комиссии: Поспелова О.В., Павлухина А.А., Логинова В.В., Бондаренко Т.В., Павлова Т.В., Давыдова С.В., Свирина Ю.А., Рубина Ю.Д.,</w:t>
      </w:r>
    </w:p>
    <w:p w14:paraId="35E58C03" w14:textId="77777777" w:rsidR="00F66545" w:rsidRDefault="00D61DB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при участии члена Совета АПМО Толчеева М.Н.,</w:t>
      </w:r>
    </w:p>
    <w:p w14:paraId="13FEA850" w14:textId="77777777" w:rsidR="00F66545" w:rsidRDefault="00D61DB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>при секретаре, члене Комиссии, Рыбакове С.А.,</w:t>
      </w:r>
    </w:p>
    <w:p w14:paraId="0D495D6F" w14:textId="5E25BD2A" w:rsidR="00F66545" w:rsidRDefault="00D61DB3">
      <w:pPr>
        <w:tabs>
          <w:tab w:val="left" w:pos="709"/>
        </w:tabs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</w:r>
      <w:r>
        <w:rPr>
          <w:color w:val="auto"/>
          <w:szCs w:val="24"/>
        </w:rPr>
        <w:t>при участии представителя заявителя М</w:t>
      </w:r>
      <w:r w:rsidR="00310406">
        <w:rPr>
          <w:color w:val="auto"/>
          <w:szCs w:val="24"/>
        </w:rPr>
        <w:t>.</w:t>
      </w:r>
      <w:r>
        <w:rPr>
          <w:color w:val="auto"/>
          <w:szCs w:val="24"/>
        </w:rPr>
        <w:t>М.И., адвоката Л</w:t>
      </w:r>
      <w:r w:rsidR="00310406">
        <w:rPr>
          <w:color w:val="auto"/>
          <w:szCs w:val="24"/>
        </w:rPr>
        <w:t>.</w:t>
      </w:r>
      <w:r>
        <w:rPr>
          <w:color w:val="auto"/>
          <w:szCs w:val="24"/>
        </w:rPr>
        <w:t>Ю.В.</w:t>
      </w:r>
    </w:p>
    <w:p w14:paraId="040700F3" w14:textId="10E7CBD9" w:rsidR="00F66545" w:rsidRDefault="00D61DB3">
      <w:pPr>
        <w:pStyle w:val="af"/>
        <w:tabs>
          <w:tab w:val="left" w:pos="720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03.12.2025 г. по жалобе доверителя М</w:t>
      </w:r>
      <w:r w:rsidR="00310406">
        <w:rPr>
          <w:sz w:val="24"/>
          <w:szCs w:val="24"/>
        </w:rPr>
        <w:t>.</w:t>
      </w:r>
      <w:r>
        <w:rPr>
          <w:sz w:val="24"/>
          <w:szCs w:val="24"/>
        </w:rPr>
        <w:t>М.В. в отношении адвоката Л</w:t>
      </w:r>
      <w:r w:rsidR="00310406">
        <w:rPr>
          <w:sz w:val="24"/>
          <w:szCs w:val="24"/>
        </w:rPr>
        <w:t>.</w:t>
      </w:r>
      <w:r>
        <w:rPr>
          <w:sz w:val="24"/>
          <w:szCs w:val="24"/>
        </w:rPr>
        <w:t>Ю.В.</w:t>
      </w:r>
      <w:r w:rsidR="00310406">
        <w:rPr>
          <w:sz w:val="24"/>
          <w:szCs w:val="24"/>
        </w:rPr>
        <w:t>,</w:t>
      </w:r>
    </w:p>
    <w:p w14:paraId="75E24B17" w14:textId="77777777" w:rsidR="00F66545" w:rsidRDefault="00F66545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EE328A" w14:textId="77777777" w:rsidR="00F66545" w:rsidRDefault="00D61DB3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01436AD6" w14:textId="77777777" w:rsidR="00F66545" w:rsidRDefault="00F66545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14:paraId="2878EBCF" w14:textId="35039EDF" w:rsidR="00F66545" w:rsidRDefault="00D61DB3">
      <w:pPr>
        <w:jc w:val="both"/>
        <w:rPr>
          <w:szCs w:val="24"/>
        </w:rPr>
      </w:pPr>
      <w:r>
        <w:rPr>
          <w:szCs w:val="24"/>
        </w:rPr>
        <w:tab/>
        <w:t>02.12.2025 г. в АПМО поступила жалоба М</w:t>
      </w:r>
      <w:r w:rsidR="00310406">
        <w:rPr>
          <w:szCs w:val="24"/>
        </w:rPr>
        <w:t>.</w:t>
      </w:r>
      <w:r>
        <w:rPr>
          <w:szCs w:val="24"/>
        </w:rPr>
        <w:t>М.В. в отношении адвоката Л</w:t>
      </w:r>
      <w:r w:rsidR="00310406">
        <w:rPr>
          <w:szCs w:val="24"/>
        </w:rPr>
        <w:t>.</w:t>
      </w:r>
      <w:r>
        <w:rPr>
          <w:szCs w:val="24"/>
        </w:rPr>
        <w:t xml:space="preserve">Ю.В., в которой заявитель сообщает, что адвокат ввел ее в заблуждение относительно возможности решения вопроса о денежной компенсации некачественного ремонта в досудебном порядке, поставил размер своего вознаграждения в зависимость от размера стоимости квартиры заявителя, а не объема работы по делу, т.е., по мнению заявителя, адвокатом была «навязана дорогостоящая услуга» под предлогом досудебного урегулирования спора. </w:t>
      </w:r>
    </w:p>
    <w:p w14:paraId="4BAD29E4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заявитель утверждает, что адвокатом были навязаны условия соглашения, согласно которым адвокат получал право привлекать в дело третьих лиц; адвокат ввел заявителя в заблуждение относительно количества судебных заседаний, указав, что их будет много; на поставленные вопросы заявителя адвокат не отвечал, рекомендуя прочитать ГПК РФ; заявитель инкриминирует адвокату умышленное затягивание составление и подачу искового заявления, некомпетентность и не заинтересованность в положительном разрешении дела со стороны адвоката; со стороны адвоката была неправильно рассчитана неустойка, в связи с чем заявитель понесла значительные расходы по излишне уплаченной госпошлине, не подготовлены вопросы для судебного эксперта. </w:t>
      </w:r>
    </w:p>
    <w:p w14:paraId="2FD1163E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10FEF95B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соглашение № 1080 от 09.12.2022 г.;</w:t>
      </w:r>
    </w:p>
    <w:p w14:paraId="0B5754C6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платежные поручения – 2 л.;</w:t>
      </w:r>
    </w:p>
    <w:p w14:paraId="5122198A" w14:textId="79B0EA5D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доверенность на адвоката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 xml:space="preserve">Ю.В. № </w:t>
      </w:r>
      <w:r w:rsidR="00310406">
        <w:rPr>
          <w:rFonts w:eastAsia="Calibri"/>
          <w:color w:val="auto"/>
          <w:szCs w:val="24"/>
          <w:lang w:eastAsia="en-US"/>
        </w:rPr>
        <w:t>…</w:t>
      </w:r>
      <w:r>
        <w:rPr>
          <w:rFonts w:eastAsia="Calibri"/>
          <w:color w:val="auto"/>
          <w:szCs w:val="24"/>
          <w:lang w:eastAsia="en-US"/>
        </w:rPr>
        <w:t>;</w:t>
      </w:r>
    </w:p>
    <w:p w14:paraId="1570876D" w14:textId="31B4ED85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распоряжение об отзыве доверенности адвоката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Ю.В.;</w:t>
      </w:r>
    </w:p>
    <w:p w14:paraId="111BFF1B" w14:textId="3CD2D9D2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уведомление о расторжении соглашения с адвокатом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 xml:space="preserve"> с почтовыми документами, подтверждающими отправку;</w:t>
      </w:r>
    </w:p>
    <w:p w14:paraId="11C832DC" w14:textId="6160CB6D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ответ адвоката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Ю.В. на уведомление о расторжении соглашения;</w:t>
      </w:r>
    </w:p>
    <w:p w14:paraId="35A17AFE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скрин-копии переписки;</w:t>
      </w:r>
    </w:p>
    <w:p w14:paraId="41347697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исковое заявление;</w:t>
      </w:r>
    </w:p>
    <w:p w14:paraId="6B67CFA9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расписка о явке в суд;</w:t>
      </w:r>
    </w:p>
    <w:p w14:paraId="6ADA991E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возражения относительно ходатайства ответчика;</w:t>
      </w:r>
    </w:p>
    <w:p w14:paraId="0BE7D641" w14:textId="77777777" w:rsidR="00F66545" w:rsidRDefault="00D61DB3">
      <w:pPr>
        <w:numPr>
          <w:ilvl w:val="0"/>
          <w:numId w:val="1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расписка о получении копии определения суда.   </w:t>
      </w:r>
    </w:p>
    <w:p w14:paraId="2C53E48D" w14:textId="1155D533" w:rsidR="00F66545" w:rsidRDefault="00D61DB3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>Адвокатом в комиссию представлены письменные объяснения, в которых он не согласился с доводами жалобы и указывает на то, что предложение о досудебном урегулировании спора является его профессиональной обязанностью, обсуждение данного вопроса с доверителем происходило в корректной, доступной для понимания  форме, которая не содержала каких-либо гарантий положительного решения правовых проблем доверителя или предложений их разрешения незаконными методами, досудебная претензия была составлена и направлена не адвокатом, а юристами, к которым доверитель обращалась до заключения соглашения с адвокатом. Все существенные условия были с доверителем оговорены, подписав соглашение без каких-либо замечаний, она тем самым выразила согласие с его положениями и требованиями. Возможность привлечения в дело адвоката М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Р.С. была оговорена в соглашении, доверитель оформила доверенность на адвоката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Ю.В. и адвоката М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Р.С.</w:t>
      </w:r>
      <w:r w:rsidR="00FE0040">
        <w:rPr>
          <w:rFonts w:eastAsia="Calibri"/>
          <w:color w:val="auto"/>
          <w:szCs w:val="24"/>
          <w:lang w:eastAsia="en-US"/>
        </w:rPr>
        <w:t xml:space="preserve"> </w:t>
      </w:r>
      <w:r>
        <w:rPr>
          <w:rFonts w:eastAsia="Calibri"/>
          <w:color w:val="auto"/>
          <w:szCs w:val="24"/>
          <w:lang w:eastAsia="en-US"/>
        </w:rPr>
        <w:t xml:space="preserve">что является подтверждением того, что участие последнего в деле было согласовано с доверителем. </w:t>
      </w:r>
    </w:p>
    <w:p w14:paraId="11E510A5" w14:textId="00ADDB9B" w:rsidR="00F66545" w:rsidRDefault="00D61DB3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Адвокат М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Р.С. принимал участие в предварительном судебном заседании по делу, против чего заявитель также не возражала.  Лично адвокат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 xml:space="preserve">Ю.В. в предварительном судебном заседании участия принять не мог, т.к. сопровождал супругу в больницу с тяжелым онкологическим заболеванием. Относительно долгой подготовки и подачи искового заявления адвокат пояснил, что это было обусловлено тщательным изучением и анализом документов, подтверждающих позицию истца, ее согласование с последним, что подтверждается совместной перепиской адвоката и доверителя. Не подготовку вопросов судебному эксперту адвокат объясняет отсутствием в этом необходимости и избранной процессуальной тактике. В ходе рассмотрения соответствующего дела адвокат свое отношение к проведенной судебной экспертизе выражал в ходатайства и возражениях. Результатом работы адвоката по делу является частичное удовлетворение исковых требований доверителя. </w:t>
      </w:r>
    </w:p>
    <w:p w14:paraId="00C9CF00" w14:textId="77777777" w:rsidR="00F66545" w:rsidRDefault="00D61DB3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К письменным объяснениям адвоката приложены копии следующих документов:</w:t>
      </w:r>
    </w:p>
    <w:p w14:paraId="5184D3CE" w14:textId="77777777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соглашение № 1080 от 09.12.22 г.</w:t>
      </w:r>
    </w:p>
    <w:p w14:paraId="1A4BFCFE" w14:textId="6A83C254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доверенность на адвоката Л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Ю.В. и М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>Р.С.;</w:t>
      </w:r>
    </w:p>
    <w:p w14:paraId="151EDE4F" w14:textId="77777777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досье адвоката;</w:t>
      </w:r>
    </w:p>
    <w:p w14:paraId="68756ABE" w14:textId="328267B5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решение суда по делу № </w:t>
      </w:r>
      <w:r w:rsidR="00310406">
        <w:rPr>
          <w:rFonts w:eastAsia="Calibri"/>
          <w:color w:val="auto"/>
          <w:szCs w:val="24"/>
          <w:lang w:eastAsia="en-US"/>
        </w:rPr>
        <w:t>…</w:t>
      </w:r>
      <w:r>
        <w:rPr>
          <w:rFonts w:eastAsia="Calibri"/>
          <w:color w:val="auto"/>
          <w:szCs w:val="24"/>
          <w:lang w:eastAsia="en-US"/>
        </w:rPr>
        <w:t>;</w:t>
      </w:r>
    </w:p>
    <w:p w14:paraId="7A5C39C6" w14:textId="77777777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письмо АПМО № 465 от 05.02.2023 г.;</w:t>
      </w:r>
    </w:p>
    <w:p w14:paraId="6C31FE89" w14:textId="740D4FE0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письмо </w:t>
      </w:r>
      <w:r w:rsidR="00310406">
        <w:rPr>
          <w:rFonts w:eastAsia="Calibri"/>
          <w:color w:val="auto"/>
          <w:szCs w:val="24"/>
          <w:lang w:eastAsia="en-US"/>
        </w:rPr>
        <w:t>…</w:t>
      </w:r>
      <w:r>
        <w:rPr>
          <w:rFonts w:eastAsia="Calibri"/>
          <w:color w:val="auto"/>
          <w:szCs w:val="24"/>
          <w:lang w:eastAsia="en-US"/>
        </w:rPr>
        <w:t xml:space="preserve"> РФ № </w:t>
      </w:r>
      <w:r w:rsidR="00310406">
        <w:rPr>
          <w:rFonts w:eastAsia="Calibri"/>
          <w:color w:val="auto"/>
          <w:szCs w:val="24"/>
          <w:lang w:eastAsia="en-US"/>
        </w:rPr>
        <w:t>…</w:t>
      </w:r>
      <w:r>
        <w:rPr>
          <w:rFonts w:eastAsia="Calibri"/>
          <w:color w:val="auto"/>
          <w:szCs w:val="24"/>
          <w:lang w:eastAsia="en-US"/>
        </w:rPr>
        <w:t xml:space="preserve"> от 11.11.2025 г.;</w:t>
      </w:r>
    </w:p>
    <w:p w14:paraId="2E91FE2D" w14:textId="77777777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переписка с доверителем;</w:t>
      </w:r>
    </w:p>
    <w:p w14:paraId="75AF7644" w14:textId="473FD4C0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подтверждение перелета в Т</w:t>
      </w:r>
      <w:r w:rsidR="00310406">
        <w:rPr>
          <w:rFonts w:eastAsia="Calibri"/>
          <w:color w:val="auto"/>
          <w:szCs w:val="24"/>
          <w:lang w:eastAsia="en-US"/>
        </w:rPr>
        <w:t>.</w:t>
      </w:r>
      <w:r>
        <w:rPr>
          <w:rFonts w:eastAsia="Calibri"/>
          <w:color w:val="auto"/>
          <w:szCs w:val="24"/>
          <w:lang w:eastAsia="en-US"/>
        </w:rPr>
        <w:t xml:space="preserve"> и медицинские документы;</w:t>
      </w:r>
    </w:p>
    <w:p w14:paraId="7DE9ACAA" w14:textId="77777777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письмо доверителя о расторжении соглашения;</w:t>
      </w:r>
    </w:p>
    <w:p w14:paraId="0640046F" w14:textId="759E35D2" w:rsidR="00F66545" w:rsidRDefault="00D61DB3">
      <w:pPr>
        <w:numPr>
          <w:ilvl w:val="0"/>
          <w:numId w:val="2"/>
        </w:numPr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объяснение в </w:t>
      </w:r>
      <w:r w:rsidR="00310406">
        <w:rPr>
          <w:rFonts w:eastAsia="Calibri"/>
          <w:color w:val="auto"/>
          <w:szCs w:val="24"/>
          <w:lang w:eastAsia="en-US"/>
        </w:rPr>
        <w:t>…</w:t>
      </w:r>
      <w:r>
        <w:rPr>
          <w:rFonts w:eastAsia="Calibri"/>
          <w:color w:val="auto"/>
          <w:szCs w:val="24"/>
          <w:lang w:eastAsia="en-US"/>
        </w:rPr>
        <w:t>.</w:t>
      </w:r>
    </w:p>
    <w:p w14:paraId="30B76091" w14:textId="77777777" w:rsidR="00F66545" w:rsidRDefault="00F66545">
      <w:pPr>
        <w:jc w:val="both"/>
        <w:rPr>
          <w:rFonts w:eastAsia="Calibri"/>
          <w:color w:val="auto"/>
          <w:szCs w:val="24"/>
          <w:lang w:eastAsia="en-US"/>
        </w:rPr>
      </w:pPr>
    </w:p>
    <w:p w14:paraId="52E4A2C0" w14:textId="46C5F935" w:rsidR="00F66545" w:rsidRDefault="00D61DB3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23.12.2025 г. в заседании Комиссии представитель заявителя поддержала доводы жалобы в полном объеме и приобщила к материалам дисциплинарного производства дополнительные документы. Представитель заявителя указала, что адвокат ненадлежащим образом оказывал юридическую помощь, но решением суда исковые требования были частично удовлетворены. Во всех судебных заседаниях доверитель участвовала лично в качестве слушателя, возражений против участия М</w:t>
      </w:r>
      <w:r w:rsidR="00310406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 xml:space="preserve"> в судебных заседаниях они не заявляли. </w:t>
      </w:r>
    </w:p>
    <w:p w14:paraId="4282B4F6" w14:textId="77777777" w:rsidR="00F66545" w:rsidRDefault="00D61DB3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23.12.2025 г. в заседании Комиссии адвокат поддержал доводы письменных объяснений. На вопросы Комиссии пояснил, что соглашение было заключено в начале декабря 2022 г., а иск был подан в конце марта 2023 г. Такой срок подготовки иска был обусловлен тем, что все материалы от доверителя (в т.ч. заключение специалиста) были получены от доверителя только в начале марта 2023 г.</w:t>
      </w:r>
    </w:p>
    <w:p w14:paraId="6FCA13D9" w14:textId="77777777" w:rsidR="00F66545" w:rsidRDefault="00F66545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</w:p>
    <w:p w14:paraId="6B8F3C73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5503D3D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A8539A3" w14:textId="77777777" w:rsidR="00F66545" w:rsidRDefault="00D61DB3">
      <w:pPr>
        <w:jc w:val="both"/>
        <w:rPr>
          <w:szCs w:val="24"/>
        </w:rPr>
      </w:pPr>
      <w:r>
        <w:rPr>
          <w:szCs w:val="24"/>
        </w:rP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CF09526" w14:textId="77777777" w:rsidR="00F66545" w:rsidRDefault="00D61DB3">
      <w:pPr>
        <w:jc w:val="both"/>
        <w:rPr>
          <w:szCs w:val="24"/>
        </w:rPr>
      </w:pPr>
      <w:r>
        <w:rPr>
          <w:szCs w:val="24"/>
        </w:rPr>
        <w:tab/>
      </w:r>
      <w:bookmarkStart w:id="0" w:name="_Hlk217652470"/>
      <w:r>
        <w:rPr>
          <w:szCs w:val="24"/>
        </w:rPr>
        <w:t>В жалобе заявитель выдвигает следующие дисциплинарные обвинения:</w:t>
      </w:r>
    </w:p>
    <w:bookmarkEnd w:id="0"/>
    <w:p w14:paraId="4276F1EF" w14:textId="068A66FA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bookmarkStart w:id="1" w:name="_Hlk217651261"/>
      <w:r>
        <w:rPr>
          <w:szCs w:val="24"/>
        </w:rPr>
        <w:t>адвокат Л</w:t>
      </w:r>
      <w:r w:rsidR="00310406">
        <w:rPr>
          <w:szCs w:val="24"/>
        </w:rPr>
        <w:t>.</w:t>
      </w:r>
      <w:r>
        <w:rPr>
          <w:szCs w:val="24"/>
        </w:rPr>
        <w:t>Ю.В. ввел доверителя в заблуждение относительно возможности решения вопроса о денежной компенсации некачественного ремонта в досудебном порядке;</w:t>
      </w:r>
    </w:p>
    <w:bookmarkEnd w:id="1"/>
    <w:p w14:paraId="4468F1BC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- поставил размер своего вознаграждения в зависимость от размера стоимости квартиры доверителя, а не объема работы по делу;</w:t>
      </w:r>
    </w:p>
    <w:p w14:paraId="6C1BB0E1" w14:textId="56F5FF42" w:rsidR="00F66545" w:rsidRDefault="00D61DB3">
      <w:pPr>
        <w:ind w:firstLine="708"/>
        <w:jc w:val="both"/>
        <w:rPr>
          <w:color w:val="auto"/>
          <w:szCs w:val="24"/>
        </w:rPr>
      </w:pPr>
      <w:bookmarkStart w:id="2" w:name="_Hlk217650967"/>
      <w:r>
        <w:rPr>
          <w:szCs w:val="24"/>
        </w:rPr>
        <w:t xml:space="preserve">- адвокатом были навязаны условия соглашения, согласно которым адвокат получал право привлекать в дело третьих лиц, </w:t>
      </w:r>
      <w:r>
        <w:rPr>
          <w:color w:val="auto"/>
          <w:szCs w:val="24"/>
        </w:rPr>
        <w:t>и фактически привлекал для исполнения соглашения третье лицо адвоката М</w:t>
      </w:r>
      <w:r w:rsidR="00310406">
        <w:rPr>
          <w:color w:val="auto"/>
          <w:szCs w:val="24"/>
        </w:rPr>
        <w:t>.</w:t>
      </w:r>
      <w:r>
        <w:rPr>
          <w:color w:val="auto"/>
          <w:szCs w:val="24"/>
        </w:rPr>
        <w:t>Р.С.;</w:t>
      </w:r>
      <w:bookmarkEnd w:id="2"/>
    </w:p>
    <w:p w14:paraId="486401E1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 адвокат ненадлежащим образом исполнял принятое поручение, а именно ввел заявителя в заблуждение относительно количества судебных заседаний, указав, что их будет много; на поставленные вопросы заявительницы адвокат не отвечал, рекомендуя прочитать ГПК РФ; проявил некомпетентность и не заинтересованность в положительном разрешении дела; адвокатом не были подготовлены и заданы вопросы для судебного эксперта;</w:t>
      </w:r>
    </w:p>
    <w:p w14:paraId="195BE9DC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bookmarkStart w:id="3" w:name="_Hlk217651442"/>
      <w:r>
        <w:rPr>
          <w:szCs w:val="24"/>
        </w:rPr>
        <w:t xml:space="preserve"> адвокат умышленно затягивал составление и подачу искового заявления;</w:t>
      </w:r>
    </w:p>
    <w:bookmarkEnd w:id="3"/>
    <w:p w14:paraId="6445462F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- адвокатом была неправильно рассчитана неустойка, в связи с чем заявитель понесла значительные расходы по излишне уплаченной госпошлине;</w:t>
      </w:r>
    </w:p>
    <w:p w14:paraId="036235B1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  адвокат указал в п. 8 соглашения невозвратную часть вознаграждения адвоката в случае досрочного расторжения соглашения со стороны доверителя.</w:t>
      </w:r>
    </w:p>
    <w:p w14:paraId="37210930" w14:textId="77777777" w:rsidR="00F66545" w:rsidRDefault="00D61DB3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C485CA6" w14:textId="5C7C73BB" w:rsidR="00F66545" w:rsidRDefault="00D61DB3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 части довода жалобы о том, что адвокатом были навязаны условия соглашения, согласно которым адвокат получал право привлекать в дело третьих лиц и фактически привлекал для исполнения соглашения третье лицо адвоката М</w:t>
      </w:r>
      <w:r w:rsidR="00310406">
        <w:rPr>
          <w:color w:val="auto"/>
          <w:szCs w:val="24"/>
        </w:rPr>
        <w:t>.</w:t>
      </w:r>
      <w:r>
        <w:rPr>
          <w:color w:val="auto"/>
          <w:szCs w:val="24"/>
        </w:rPr>
        <w:t>Р.С.,</w:t>
      </w:r>
      <w:r>
        <w:rPr>
          <w:color w:val="FF0000"/>
          <w:szCs w:val="24"/>
        </w:rPr>
        <w:t xml:space="preserve"> </w:t>
      </w:r>
      <w:r>
        <w:rPr>
          <w:szCs w:val="24"/>
        </w:rPr>
        <w:t>по настоящему дисциплинарному производству комиссией установлено, что между доверителем М</w:t>
      </w:r>
      <w:r w:rsidR="00310406">
        <w:rPr>
          <w:szCs w:val="24"/>
        </w:rPr>
        <w:t>.</w:t>
      </w:r>
      <w:r>
        <w:rPr>
          <w:szCs w:val="24"/>
        </w:rPr>
        <w:t>М.В. и адвокатом Л</w:t>
      </w:r>
      <w:r w:rsidR="00310406">
        <w:rPr>
          <w:szCs w:val="24"/>
        </w:rPr>
        <w:t>.</w:t>
      </w:r>
      <w:r>
        <w:rPr>
          <w:szCs w:val="24"/>
        </w:rPr>
        <w:t xml:space="preserve">Ю.В. заключено соглашение об оказании юридической помощи № </w:t>
      </w:r>
      <w:r w:rsidR="00FE0040">
        <w:rPr>
          <w:szCs w:val="24"/>
        </w:rPr>
        <w:t>…</w:t>
      </w:r>
      <w:r>
        <w:rPr>
          <w:szCs w:val="24"/>
        </w:rPr>
        <w:t xml:space="preserve"> от 09.12.2022 г. </w:t>
      </w:r>
    </w:p>
    <w:p w14:paraId="505A776C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п.п.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 </w:t>
      </w:r>
    </w:p>
    <w:p w14:paraId="6FD0945B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В п.1.1. названного соглашения сформулирован его предмет – представление интересов доверителя в суде первой инстанции. Так же, п.п. «г» п. 2.5. соглашения закреплено право адвоката на привлечение иных лиц для оказания содействия в гражданском деле. Соглашение подписано адвокатом и заявителем, никаких отметок доверителя о том, что она не согласна с положениями соглашения последнее не содержит.</w:t>
      </w:r>
    </w:p>
    <w:p w14:paraId="79ABEEB9" w14:textId="0313A009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В материалах дисциплинарного производства имеется представленная адвокатом и заявителем копия нотариальной доверенности, выданная заявителем, которая оформлена на адвокатов Л</w:t>
      </w:r>
      <w:r w:rsidR="00310406">
        <w:rPr>
          <w:szCs w:val="24"/>
        </w:rPr>
        <w:t>.</w:t>
      </w:r>
      <w:r>
        <w:rPr>
          <w:szCs w:val="24"/>
        </w:rPr>
        <w:t>Ю.В. и М</w:t>
      </w:r>
      <w:r w:rsidR="00310406">
        <w:rPr>
          <w:szCs w:val="24"/>
        </w:rPr>
        <w:t>.</w:t>
      </w:r>
      <w:r>
        <w:rPr>
          <w:szCs w:val="24"/>
        </w:rPr>
        <w:t>Р.С.</w:t>
      </w:r>
    </w:p>
    <w:p w14:paraId="4172EC4F" w14:textId="3D3A8BA6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представитель заявителя М</w:t>
      </w:r>
      <w:r w:rsidR="00310406">
        <w:rPr>
          <w:szCs w:val="24"/>
        </w:rPr>
        <w:t>.</w:t>
      </w:r>
      <w:r>
        <w:rPr>
          <w:szCs w:val="24"/>
        </w:rPr>
        <w:t>М.И. участвовала в каждом судебном заседании и не возражала против участия адвоката М</w:t>
      </w:r>
      <w:r w:rsidR="00310406">
        <w:rPr>
          <w:szCs w:val="24"/>
        </w:rPr>
        <w:t>.</w:t>
      </w:r>
      <w:r>
        <w:rPr>
          <w:szCs w:val="24"/>
        </w:rPr>
        <w:t>Р.С. в судебных заседаниях.</w:t>
      </w:r>
    </w:p>
    <w:p w14:paraId="09A63404" w14:textId="7FEF03AE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Так же, материалы дисциплинарного производства не содержат никаких доказательств того, что заявитель прямо или косвенно возражала на стадии оформления полномочий адвоката М</w:t>
      </w:r>
      <w:r w:rsidR="00310406">
        <w:rPr>
          <w:szCs w:val="24"/>
        </w:rPr>
        <w:t>.</w:t>
      </w:r>
      <w:r>
        <w:rPr>
          <w:szCs w:val="24"/>
        </w:rPr>
        <w:t>Р.С. и его последующем участии в деле относительно привлечения названного лица адвокатом Л</w:t>
      </w:r>
      <w:r w:rsidR="00310406">
        <w:rPr>
          <w:szCs w:val="24"/>
        </w:rPr>
        <w:t>.</w:t>
      </w:r>
      <w:r>
        <w:rPr>
          <w:szCs w:val="24"/>
        </w:rPr>
        <w:t xml:space="preserve">Ю.В. для оказания ему помощи в гражданском деле. </w:t>
      </w:r>
    </w:p>
    <w:p w14:paraId="2216BB40" w14:textId="3DBC59B5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Подписание заявителем соглашения об оказании юридической помощи с указанием на возможность привлечения адвокатом третьих лиц для исполнения поручения, оформление нотариальной доверенности на адвоката М</w:t>
      </w:r>
      <w:r w:rsidR="00310406">
        <w:rPr>
          <w:szCs w:val="24"/>
        </w:rPr>
        <w:t>.</w:t>
      </w:r>
      <w:r>
        <w:rPr>
          <w:szCs w:val="24"/>
        </w:rPr>
        <w:t>Р.С., а также согласие заявителя относительно участия указанного адвоката непосредственно в судебных заседаниях Комиссия расценивает в совокупности как определенно выраженное согласие заявителя на участие адвоката М</w:t>
      </w:r>
      <w:r w:rsidR="00310406">
        <w:rPr>
          <w:szCs w:val="24"/>
        </w:rPr>
        <w:t>.</w:t>
      </w:r>
      <w:r>
        <w:rPr>
          <w:szCs w:val="24"/>
        </w:rPr>
        <w:t xml:space="preserve">Р.С. в деле. </w:t>
      </w:r>
    </w:p>
    <w:p w14:paraId="293677C4" w14:textId="56F93A96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Условия о выплате дополнительного вознаграждения в связи с участием адвоката М</w:t>
      </w:r>
      <w:r w:rsidR="00310406">
        <w:rPr>
          <w:szCs w:val="24"/>
        </w:rPr>
        <w:t>.</w:t>
      </w:r>
      <w:r>
        <w:rPr>
          <w:szCs w:val="24"/>
        </w:rPr>
        <w:t>Р.С. в деле соглашение между адвокатом и доверителем соглашение не содержит, факт выплаты указанного вознаграждения не подтверждается.</w:t>
      </w:r>
    </w:p>
    <w:p w14:paraId="78F4A2C2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Комиссия считает указанный довод жалобы необоснованным.</w:t>
      </w:r>
    </w:p>
    <w:p w14:paraId="266665D9" w14:textId="459F9446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Относительно довода жалобы о том, что адвокат Л</w:t>
      </w:r>
      <w:r w:rsidR="00310406">
        <w:rPr>
          <w:color w:val="auto"/>
          <w:szCs w:val="24"/>
        </w:rPr>
        <w:t>.</w:t>
      </w:r>
      <w:r>
        <w:rPr>
          <w:color w:val="auto"/>
          <w:szCs w:val="24"/>
        </w:rPr>
        <w:t>Ю.В. ввел доверителя в заблуждение относительно возможности решения вопроса о денежной компенсации некачественного ремонта в досудебном порядке,</w:t>
      </w:r>
      <w:r>
        <w:rPr>
          <w:szCs w:val="24"/>
        </w:rPr>
        <w:t xml:space="preserve"> Комиссия также приходит к выводу о том, что требования и претензии к адвокату со стороны заявителя относительно его неучастия в досудебном урегулировании спора являются несостоятельными, поскольку такая обязанность адвоката из предмета заключенного соглашения не следует. </w:t>
      </w:r>
      <w:r>
        <w:rPr>
          <w:color w:val="auto"/>
          <w:szCs w:val="24"/>
        </w:rPr>
        <w:t xml:space="preserve">Таким образом, данный довод также отклоняется Комиссией. </w:t>
      </w:r>
    </w:p>
    <w:p w14:paraId="7375F739" w14:textId="59FFF76C" w:rsidR="00F66545" w:rsidRDefault="00D61DB3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 отношении довода жалобы о том, что адвокат умышленно затягивал составление и подачу искового заявления,</w:t>
      </w:r>
      <w:r>
        <w:rPr>
          <w:color w:val="EE0000"/>
          <w:szCs w:val="24"/>
        </w:rPr>
        <w:t xml:space="preserve"> </w:t>
      </w:r>
      <w:r>
        <w:rPr>
          <w:szCs w:val="24"/>
        </w:rPr>
        <w:t xml:space="preserve">Комиссия отмечает, что из электронной картотеки дел на портале </w:t>
      </w:r>
      <w:r w:rsidR="00310406">
        <w:rPr>
          <w:szCs w:val="24"/>
        </w:rPr>
        <w:t>…</w:t>
      </w:r>
      <w:r>
        <w:rPr>
          <w:szCs w:val="24"/>
        </w:rPr>
        <w:t xml:space="preserve"> </w:t>
      </w:r>
      <w:r>
        <w:rPr>
          <w:color w:val="auto"/>
          <w:szCs w:val="24"/>
        </w:rPr>
        <w:t>следует,</w:t>
      </w:r>
      <w:r>
        <w:rPr>
          <w:szCs w:val="24"/>
        </w:rPr>
        <w:t xml:space="preserve"> что исковое заявление было направлено адвокатом в суд в конце марта 2023 г., принято П</w:t>
      </w:r>
      <w:r w:rsidR="00310406">
        <w:rPr>
          <w:szCs w:val="24"/>
        </w:rPr>
        <w:t xml:space="preserve">. </w:t>
      </w:r>
      <w:r>
        <w:rPr>
          <w:szCs w:val="24"/>
        </w:rPr>
        <w:t>районным судом г. М</w:t>
      </w:r>
      <w:r w:rsidR="00310406">
        <w:rPr>
          <w:szCs w:val="24"/>
        </w:rPr>
        <w:t>.</w:t>
      </w:r>
      <w:r>
        <w:rPr>
          <w:szCs w:val="24"/>
        </w:rPr>
        <w:t xml:space="preserve"> 18.04.2023 г., т.е. с учетом новогодних нерабочих дней, менее чем через 4 (четыре) календарных месяца с даты принятия поручения. Вместе с тем из электронной переписки сторон следует, что все материалы были переданы адвокату не в момент принятия поручения 09.12.2022 г., а после 20.01.2023 г., т.е. с момента получения адвокатом материалов и датой направления иска в суд прошло не более 2 (двух) календарных месяцев, что по мнению Комиссии является разумным сроком для подготовки и подачи искового заявления по сложному гражданскому спору.</w:t>
      </w:r>
    </w:p>
    <w:p w14:paraId="10AE688E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Комиссия неоднократно ранее отмечала, что при рассмотрении дисциплинарного производства Комиссией по общему правилу не оценивается выработанная адвокатом правовая позиция или процессуальная тактика, за исключением случая совершения адвокатом явных и грубых юридических ошибок при исполнении поручения, повлиявших на права доверителя.</w:t>
      </w:r>
    </w:p>
    <w:p w14:paraId="67896925" w14:textId="49B364E2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В этой связи, Комиссия полагает, что сложность дела, необходимость расчета денежной компенсации за некачественный ремонт, досудебные исследования истцом качества выполненных работ путём привлечения специалистов ООО «</w:t>
      </w:r>
      <w:r w:rsidR="00310406">
        <w:rPr>
          <w:szCs w:val="24"/>
        </w:rPr>
        <w:t>…</w:t>
      </w:r>
      <w:r>
        <w:rPr>
          <w:szCs w:val="24"/>
        </w:rPr>
        <w:t>», согласно выводам которых качество выполненных работ по строительству жилого дома, а именно квартиры истца, не соответствует нормативным требованиям, получение иных дополнительных доказательств и их анализ является уважительной причиной для такого срока составления и подачи искового заявления.</w:t>
      </w:r>
    </w:p>
    <w:p w14:paraId="4450E074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указанный довод жалобы также не находит своего подтверждения в материалах дисциплинарного производства.</w:t>
      </w:r>
    </w:p>
    <w:p w14:paraId="0A0CDC49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Комиссия отмечает,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58982F6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В отношении группы доводов жалобы о ненадлежащем качестве оказанной юридической помощи доверителем не представлено относимых и допустимых доказательств того, что адвокат пренебрегал интересами дела, вводил заявителя в заблуждение относительно количества судебных заседаний; на поставленные вопросы заявителя адвокат не отвечал; проявил некомпетентность и не заинтересованность в положительном разрешении дела. По мнению Комиссии, перечисленные претензии к адвокату носят оценочный характер, не основаны на каких-либо объективных критериях, не подтверждены заявителем надлежащим образом.  </w:t>
      </w:r>
    </w:p>
    <w:p w14:paraId="6DB1C4C2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По указанным выше причинам </w:t>
      </w:r>
      <w:r>
        <w:rPr>
          <w:color w:val="auto"/>
          <w:szCs w:val="24"/>
        </w:rPr>
        <w:t>указанные доводы заявителя Комиссией отклоняются.</w:t>
      </w:r>
    </w:p>
    <w:p w14:paraId="740C517F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не находит в материалах дела подтверждения довод о том, что адвокат навязал доверителю завышенную стоимость юридической помощи, связав с ее со стоимостью квартиры.</w:t>
      </w:r>
    </w:p>
    <w:p w14:paraId="0C881A24" w14:textId="77777777" w:rsidR="00F66545" w:rsidRDefault="00D61D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п.п. 1 и 2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4B9610D" w14:textId="77777777" w:rsidR="00F66545" w:rsidRDefault="00D61DB3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В отношении определения размера вознаграждения, оплачиваемого адвокату доверителем за оказанную юридическую помощь, по общему правилу действует гражданско-правовой принцип свободы договора, согласно которому стороны свободны в определении условий соглашения об оказании юридической помощи в части размера вознаграждения. </w:t>
      </w:r>
      <w:r>
        <w:rPr>
          <w:szCs w:val="24"/>
        </w:rPr>
        <w:t>Комиссия разъясняет доверителю, что споры по соглашению об оказании юридической помощи, в т.ч. финансовые споры между адвокатом и доверителем о размере вознаграждения,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40DBEAB2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также отмечает, что соглашение не содержит какой-либо взаимосвязи между ценой спорной квартиры и размером вознаграждения адвоката, вопреки доводам доверителя.</w:t>
      </w:r>
    </w:p>
    <w:p w14:paraId="2E64FF3D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указанный довод признается Комиссией необоснованным.</w:t>
      </w:r>
    </w:p>
    <w:p w14:paraId="275753DB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Вместе с тем Комиссия отмечает, что при составлении искового заявления адвокатом не было учтено, что требования истца о взыскании с ответчика неустойки за период с 04.08.2022 г. по 30.06.2023 г., исчисляемой в соответствии с п.1 ст. 23 Закона РФ от 07.02.1992 № 2300-1 «О защите прав потребителей», подпадают под действия Постановления Правительства РФ от 26 марта 2022 года № 479, в соответствии с которым предусмотрено, что неустойки (штрафы, пени), иные финансовые санкции, подлежащие с учетом ч. 9 ст. 4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уплате гражданину - участнику долевого строительства за неисполнение или ненадлежащее исполнение обязательств по договорам участия в долевом строительстве, заключенным исключительно для личных, семейных, домашних и иных нужд, не связанных с осуществлением предпринимательской деятельности, не начисляются за период со дня вступления в силу настоящего </w:t>
      </w:r>
      <w:r>
        <w:rPr>
          <w:szCs w:val="24"/>
        </w:rPr>
        <w:lastRenderedPageBreak/>
        <w:t>постановления до 30 июня 2023 года включительно (период моратория для начисления неустойки).</w:t>
      </w:r>
    </w:p>
    <w:p w14:paraId="0887B98D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Комиссия считает, что при составлении иска адвокатом не были учтены нормативные требования, регламентирующие начисление и взыскание неустойки по указанной категории спора с застройщика, в связи с чем цена иска была необоснованно увеличена, а заявитель понес дополнительные финансовые потери в виде излишне уплаченной государственной пошлины, </w:t>
      </w:r>
      <w:r>
        <w:rPr>
          <w:color w:val="auto"/>
          <w:szCs w:val="24"/>
        </w:rPr>
        <w:t>что Комиссия оценивает как явную и грубую юридическую ошибку со стороны адвоката.</w:t>
      </w:r>
    </w:p>
    <w:p w14:paraId="3C08B860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По изложенным выше правовым основаниям в удовлетворении иска именно в этой части исковых требований (неустойка в период моратория) судом было отказано. </w:t>
      </w:r>
    </w:p>
    <w:p w14:paraId="5FC3F924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материалами дисциплинарного производства доказывается факт совершения адвокатом явной и грубой ошибки при подаче искового заявления в суд.</w:t>
      </w:r>
    </w:p>
    <w:p w14:paraId="5D5F0717" w14:textId="77777777" w:rsidR="00F66545" w:rsidRDefault="00D61DB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Далее, в отношении довода жалобы о внесении в соглашение условий о невозвратной части гонорара адвоката при его досрочном расторжении Комиссией установлено, что п.8 соглашения между адвокатом и доверителем содержит императивное условие о том, что в случае досрочного расторжения соглашения со стороны доверителя адвокату подлежит выплате вознаграждение в размере не менее 50 % на досудебной стадии, не менее 80 % после возбуждения дела в суде первой инстанции и т.д. По мнению Комиссии, данный пункт ставит доверителя в заведомо невыгодное финансовое положение и зависимость от адвоката, и не связан с объемом и качеством его работы.</w:t>
      </w:r>
    </w:p>
    <w:p w14:paraId="375E125A" w14:textId="77777777" w:rsidR="00F66545" w:rsidRDefault="00D61DB3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Комиссия неоднократно ранее отмечала, что надлежащее исполнение адвокатом своих обязанностей перед доверителем предполагает не только исполнение предмета поручения об оказании юридической помощи, но и надлежащее оформление договорных и финансовых отношений с доверителем.</w:t>
      </w:r>
    </w:p>
    <w:p w14:paraId="5F705659" w14:textId="77777777" w:rsidR="00F66545" w:rsidRDefault="00D61DB3">
      <w:pPr>
        <w:ind w:firstLine="708"/>
        <w:jc w:val="both"/>
        <w:rPr>
          <w:szCs w:val="24"/>
          <w:highlight w:val="magenta"/>
        </w:rPr>
      </w:pPr>
      <w:r>
        <w:rPr>
          <w:szCs w:val="24"/>
        </w:rPr>
        <w:t>При этом одним из фундаментальных принципов адвокатской деятельности является фидуциарный характер взаимоотношений адвоката с доверителем.  </w:t>
      </w:r>
    </w:p>
    <w:p w14:paraId="75D2D5F9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Включение в соглашение об оказании юридической помощи условия о штрафной неустойке или аналогичного по своей правовой природе условия о невозврате выплаченного адвокату вознаграждения в случае одностороннего отказа доверителя от соглашения является, по мнению Комиссии, недопустимым, нарушает права и законные интересы доверителя как слабой стороны соглашения об оказании юридической помощи и может быть квалифицировано как кабальное для доверителя условие и, как следствие, подрывает доверительный характер отношений между доверителем и адвокатом.</w:t>
      </w:r>
    </w:p>
    <w:p w14:paraId="5350B618" w14:textId="2CCD8A00" w:rsidR="00F66545" w:rsidRDefault="00D61DB3">
      <w:pPr>
        <w:ind w:firstLine="708"/>
        <w:jc w:val="both"/>
        <w:rPr>
          <w:shd w:val="clear" w:color="auto" w:fill="FFFFFF"/>
        </w:rPr>
      </w:pPr>
      <w:r>
        <w:rPr>
          <w:szCs w:val="24"/>
        </w:rPr>
        <w:t xml:space="preserve">Комиссия напоминает адвокату, </w:t>
      </w:r>
      <w:r>
        <w:rPr>
          <w:shd w:val="clear" w:color="auto" w:fill="FFFFFF"/>
        </w:rPr>
        <w:t>что при расторжении доверителем соглашения подлежат оплате только фактически оказанная защитником юридическая помощь и понесенные им, документально подтвержденные и согласованные с доверителем расходы, включение адвокатом в соглашение об оказании юридической помощи иного способа определения части гонорара подлежащего/не подлежащего возврату в данной ситуации является этически недопустимым.</w:t>
      </w:r>
    </w:p>
    <w:p w14:paraId="0C247306" w14:textId="77777777" w:rsidR="00F66545" w:rsidRDefault="00D61DB3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Таким образом, данный довод признается Комиссией доказанным.</w:t>
      </w:r>
    </w:p>
    <w:p w14:paraId="5EB7D671" w14:textId="77777777" w:rsidR="00F66545" w:rsidRDefault="00D61DB3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и сильной стороной правоотношений по оказанию юридической помощи,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CAAE3ED" w14:textId="56B8BA6F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С учетом изложенного Комиссия отмечает, что в п.10 соглашения между адвокатом и доверителем М</w:t>
      </w:r>
      <w:r w:rsidR="00310406">
        <w:rPr>
          <w:szCs w:val="24"/>
        </w:rPr>
        <w:t>.</w:t>
      </w:r>
      <w:r>
        <w:rPr>
          <w:szCs w:val="24"/>
        </w:rPr>
        <w:t xml:space="preserve">М.В. (физическим лицом) указано, что споры между названными лицами </w:t>
      </w:r>
      <w:r>
        <w:rPr>
          <w:szCs w:val="24"/>
        </w:rPr>
        <w:lastRenderedPageBreak/>
        <w:t>рассматриваются в арбитражном суде по месту нахождения адвоката, что явно противоречит законодательству РФ.</w:t>
      </w:r>
    </w:p>
    <w:p w14:paraId="355DF32F" w14:textId="35B0C28D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Непрофессиональное указание адвокатом в соглашении пункта, явно противоречащего требованиям действующего законодательства в части правил компетенции судов и подсудности споров между адвокатом и доверителем Комиссия также расценивает как отдельное дисциплинарное нарушение, хотя и не повлекшее для доверителя какого-либо ущерба, но также являющегося явной и грубой правовой ошибкой адвоката. </w:t>
      </w:r>
    </w:p>
    <w:p w14:paraId="445736A9" w14:textId="77777777" w:rsidR="00F66545" w:rsidRDefault="00F66545">
      <w:pPr>
        <w:ind w:firstLine="708"/>
        <w:jc w:val="both"/>
        <w:rPr>
          <w:color w:val="auto"/>
          <w:szCs w:val="24"/>
        </w:rPr>
      </w:pPr>
    </w:p>
    <w:p w14:paraId="7E63B677" w14:textId="78D2F83C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Л</w:t>
      </w:r>
      <w:r w:rsidR="00310406">
        <w:rPr>
          <w:szCs w:val="24"/>
        </w:rPr>
        <w:t>.</w:t>
      </w:r>
      <w:r>
        <w:rPr>
          <w:szCs w:val="24"/>
        </w:rPr>
        <w:t>Ю.В.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М</w:t>
      </w:r>
      <w:r w:rsidR="00310406">
        <w:rPr>
          <w:szCs w:val="24"/>
        </w:rPr>
        <w:t>.</w:t>
      </w:r>
      <w:r>
        <w:rPr>
          <w:szCs w:val="24"/>
        </w:rPr>
        <w:t>М.В.</w:t>
      </w:r>
    </w:p>
    <w:p w14:paraId="0E1B8318" w14:textId="77777777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66B3A49" w14:textId="77777777" w:rsidR="00F66545" w:rsidRDefault="00D61D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7F4ED3B" w14:textId="77777777" w:rsidR="00F66545" w:rsidRDefault="00F66545">
      <w:pPr>
        <w:ind w:firstLine="708"/>
        <w:jc w:val="both"/>
        <w:rPr>
          <w:rFonts w:eastAsia="Calibri"/>
          <w:color w:val="auto"/>
          <w:szCs w:val="24"/>
        </w:rPr>
      </w:pPr>
    </w:p>
    <w:p w14:paraId="2C1C8E4F" w14:textId="77777777" w:rsidR="00F66545" w:rsidRDefault="00D61DB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6C71175B" w14:textId="77777777" w:rsidR="00F66545" w:rsidRDefault="00F6654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21A4673" w14:textId="17EA7F56" w:rsidR="00F66545" w:rsidRDefault="00D61DB3">
      <w:pPr>
        <w:ind w:firstLine="708"/>
        <w:jc w:val="both"/>
        <w:rPr>
          <w:szCs w:val="24"/>
        </w:rPr>
      </w:pPr>
      <w:r>
        <w:rPr>
          <w:szCs w:val="24"/>
        </w:rPr>
        <w:t xml:space="preserve">- о наличии в действиях (бездействии) адвоката </w:t>
      </w:r>
      <w:r w:rsidR="00310406">
        <w:rPr>
          <w:szCs w:val="24"/>
        </w:rPr>
        <w:t>Л.Ю.В.</w:t>
      </w:r>
      <w:r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</w:t>
      </w:r>
      <w:r>
        <w:rPr>
          <w:color w:val="auto"/>
          <w:szCs w:val="24"/>
        </w:rPr>
        <w:t>п.</w:t>
      </w:r>
      <w:r>
        <w:rPr>
          <w:szCs w:val="24"/>
        </w:rPr>
        <w:t xml:space="preserve">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310406">
        <w:rPr>
          <w:szCs w:val="24"/>
        </w:rPr>
        <w:t>.</w:t>
      </w:r>
      <w:r>
        <w:rPr>
          <w:szCs w:val="24"/>
        </w:rPr>
        <w:t xml:space="preserve">М.В., которые выразились в том, что адвокат: </w:t>
      </w:r>
    </w:p>
    <w:p w14:paraId="3BA57909" w14:textId="77777777" w:rsidR="00D61DB3" w:rsidRDefault="00D61DB3" w:rsidP="00D61DB3">
      <w:pPr>
        <w:pStyle w:val="af5"/>
        <w:numPr>
          <w:ilvl w:val="0"/>
          <w:numId w:val="4"/>
        </w:numPr>
        <w:jc w:val="both"/>
        <w:rPr>
          <w:color w:val="auto"/>
          <w:szCs w:val="24"/>
        </w:rPr>
      </w:pPr>
      <w:r w:rsidRPr="00D61DB3">
        <w:rPr>
          <w:color w:val="auto"/>
          <w:szCs w:val="24"/>
        </w:rPr>
        <w:t>совершил явную и грубую ошибку при составлении искового заявления в суд в части неправильного периода расчета заявленной ко взысканию неустойки без учета нормативно установленного «моратория», что привело к дополнительным расходам доверителя в части уплаты государственной пошлины;</w:t>
      </w:r>
    </w:p>
    <w:p w14:paraId="01A34837" w14:textId="77777777" w:rsidR="00D61DB3" w:rsidRPr="00D61DB3" w:rsidRDefault="00D61DB3" w:rsidP="00D61DB3">
      <w:pPr>
        <w:pStyle w:val="af5"/>
        <w:numPr>
          <w:ilvl w:val="0"/>
          <w:numId w:val="4"/>
        </w:numPr>
        <w:jc w:val="both"/>
        <w:rPr>
          <w:color w:val="auto"/>
          <w:szCs w:val="24"/>
        </w:rPr>
      </w:pPr>
      <w:r w:rsidRPr="00D61DB3">
        <w:rPr>
          <w:bCs/>
          <w:color w:val="auto"/>
          <w:szCs w:val="24"/>
        </w:rPr>
        <w:t>указал в п. 10 соглашения между адвокатом и доверителем (физическим лицом) о том, что споры между сторонами соглашения подлежат рассмотрению в арбитражном суде;</w:t>
      </w:r>
    </w:p>
    <w:p w14:paraId="6D94C8CD" w14:textId="0ABCA219" w:rsidR="00F66545" w:rsidRPr="00D61DB3" w:rsidRDefault="00D61DB3" w:rsidP="00D61DB3">
      <w:pPr>
        <w:pStyle w:val="af5"/>
        <w:numPr>
          <w:ilvl w:val="0"/>
          <w:numId w:val="4"/>
        </w:numPr>
        <w:jc w:val="both"/>
        <w:rPr>
          <w:color w:val="auto"/>
          <w:szCs w:val="24"/>
        </w:rPr>
      </w:pPr>
      <w:r w:rsidRPr="00D61DB3">
        <w:rPr>
          <w:bCs/>
          <w:color w:val="auto"/>
          <w:szCs w:val="24"/>
        </w:rPr>
        <w:t>указал в п. 8 соглашения, что в случае досрочного расторжения соглашения со стороны доверителя подлежит уплате вознаграждение в размере не менее 50 % на досудебной стадии, и не менее 80 % при возбуждении производства по делу в суде первой инстанции.</w:t>
      </w:r>
    </w:p>
    <w:p w14:paraId="5A919F01" w14:textId="77777777" w:rsidR="00F66545" w:rsidRDefault="00F66545">
      <w:pPr>
        <w:jc w:val="both"/>
        <w:rPr>
          <w:rFonts w:eastAsia="Calibri"/>
          <w:b/>
          <w:color w:val="auto"/>
          <w:szCs w:val="24"/>
        </w:rPr>
      </w:pPr>
    </w:p>
    <w:p w14:paraId="1947FAA1" w14:textId="77777777" w:rsidR="00F66545" w:rsidRDefault="00F66545">
      <w:pPr>
        <w:rPr>
          <w:rFonts w:eastAsia="Calibri"/>
          <w:b/>
          <w:color w:val="auto"/>
          <w:szCs w:val="24"/>
        </w:rPr>
      </w:pPr>
    </w:p>
    <w:p w14:paraId="4EB33E24" w14:textId="77777777" w:rsidR="00F66545" w:rsidRDefault="00D61DB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60E56A2" w14:textId="00C05240" w:rsidR="00F66545" w:rsidRDefault="00D61DB3">
      <w:pPr>
        <w:jc w:val="both"/>
        <w:rPr>
          <w:rFonts w:eastAsia="Calibri"/>
          <w:color w:val="EE0000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М.Н.Мещеряков</w:t>
      </w:r>
    </w:p>
    <w:p w14:paraId="648B583A" w14:textId="77777777" w:rsidR="00F66545" w:rsidRDefault="00F66545">
      <w:pPr>
        <w:ind w:firstLine="708"/>
        <w:jc w:val="both"/>
        <w:rPr>
          <w:szCs w:val="24"/>
        </w:rPr>
      </w:pPr>
    </w:p>
    <w:sectPr w:rsidR="00F66545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5535" w14:textId="77777777" w:rsidR="00D61DB3" w:rsidRDefault="00D61DB3">
      <w:r>
        <w:separator/>
      </w:r>
    </w:p>
  </w:endnote>
  <w:endnote w:type="continuationSeparator" w:id="0">
    <w:p w14:paraId="2829FB21" w14:textId="77777777" w:rsidR="00D61DB3" w:rsidRDefault="00D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F348" w14:textId="77777777" w:rsidR="00D61DB3" w:rsidRDefault="00D61DB3">
      <w:r>
        <w:separator/>
      </w:r>
    </w:p>
  </w:footnote>
  <w:footnote w:type="continuationSeparator" w:id="0">
    <w:p w14:paraId="76CE343D" w14:textId="77777777" w:rsidR="00D61DB3" w:rsidRDefault="00D6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EAB0" w14:textId="77777777" w:rsidR="00F66545" w:rsidRDefault="00D61DB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  <w:p w14:paraId="54AC3120" w14:textId="77777777" w:rsidR="00F66545" w:rsidRDefault="00F665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790"/>
    <w:multiLevelType w:val="multilevel"/>
    <w:tmpl w:val="0729679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E151E9"/>
    <w:multiLevelType w:val="hybridMultilevel"/>
    <w:tmpl w:val="59CC4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12F60"/>
    <w:multiLevelType w:val="multilevel"/>
    <w:tmpl w:val="3E212F6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DC7072"/>
    <w:multiLevelType w:val="multilevel"/>
    <w:tmpl w:val="6CDC707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6038873">
    <w:abstractNumId w:val="2"/>
  </w:num>
  <w:num w:numId="2" w16cid:durableId="44914109">
    <w:abstractNumId w:val="3"/>
  </w:num>
  <w:num w:numId="3" w16cid:durableId="1431974782">
    <w:abstractNumId w:val="0"/>
  </w:num>
  <w:num w:numId="4" w16cid:durableId="111451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B664F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4DE0"/>
    <w:rsid w:val="00106278"/>
    <w:rsid w:val="00106D7F"/>
    <w:rsid w:val="0011027B"/>
    <w:rsid w:val="001103DD"/>
    <w:rsid w:val="00110A67"/>
    <w:rsid w:val="00110B1F"/>
    <w:rsid w:val="00111858"/>
    <w:rsid w:val="00111907"/>
    <w:rsid w:val="00111E34"/>
    <w:rsid w:val="00112D12"/>
    <w:rsid w:val="00113791"/>
    <w:rsid w:val="00113C8D"/>
    <w:rsid w:val="00113FD2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4569"/>
    <w:rsid w:val="0012466B"/>
    <w:rsid w:val="001303F0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547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80772"/>
    <w:rsid w:val="00180BCE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97E8C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20C0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73B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3024"/>
    <w:rsid w:val="00294A09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CA8"/>
    <w:rsid w:val="002C1482"/>
    <w:rsid w:val="002C157A"/>
    <w:rsid w:val="002C3491"/>
    <w:rsid w:val="002C40E0"/>
    <w:rsid w:val="002C59AE"/>
    <w:rsid w:val="002C6052"/>
    <w:rsid w:val="002C6DEA"/>
    <w:rsid w:val="002C758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7C5"/>
    <w:rsid w:val="002D7B46"/>
    <w:rsid w:val="002E073F"/>
    <w:rsid w:val="002E08C2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B2"/>
    <w:rsid w:val="002F61F5"/>
    <w:rsid w:val="002F6E96"/>
    <w:rsid w:val="002F7869"/>
    <w:rsid w:val="00300FDC"/>
    <w:rsid w:val="003011D3"/>
    <w:rsid w:val="00303291"/>
    <w:rsid w:val="0030608A"/>
    <w:rsid w:val="0030715F"/>
    <w:rsid w:val="00307719"/>
    <w:rsid w:val="0030798C"/>
    <w:rsid w:val="003103A2"/>
    <w:rsid w:val="00310406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D3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996"/>
    <w:rsid w:val="003509B6"/>
    <w:rsid w:val="00351BA2"/>
    <w:rsid w:val="00352784"/>
    <w:rsid w:val="0035341F"/>
    <w:rsid w:val="00356605"/>
    <w:rsid w:val="00361875"/>
    <w:rsid w:val="00361D05"/>
    <w:rsid w:val="0036265C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14D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112F"/>
    <w:rsid w:val="003F2E7F"/>
    <w:rsid w:val="003F4FE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33140"/>
    <w:rsid w:val="004334DF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777AA"/>
    <w:rsid w:val="00481929"/>
    <w:rsid w:val="004819D0"/>
    <w:rsid w:val="00481D5B"/>
    <w:rsid w:val="00484174"/>
    <w:rsid w:val="00485462"/>
    <w:rsid w:val="00486190"/>
    <w:rsid w:val="0048681A"/>
    <w:rsid w:val="00492FD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0D70"/>
    <w:rsid w:val="004B1A23"/>
    <w:rsid w:val="004B1FE1"/>
    <w:rsid w:val="004B242C"/>
    <w:rsid w:val="004B24CE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1C52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218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1F56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4789F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D6F"/>
    <w:rsid w:val="00583F46"/>
    <w:rsid w:val="00583FF3"/>
    <w:rsid w:val="00584CC4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4803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3577"/>
    <w:rsid w:val="005C4FDF"/>
    <w:rsid w:val="005C53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152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1B7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4280"/>
    <w:rsid w:val="00624AC3"/>
    <w:rsid w:val="00624C54"/>
    <w:rsid w:val="006274B0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4CD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1FB5"/>
    <w:rsid w:val="006B2EA0"/>
    <w:rsid w:val="006B3959"/>
    <w:rsid w:val="006B45A7"/>
    <w:rsid w:val="006C0BB4"/>
    <w:rsid w:val="006C27B3"/>
    <w:rsid w:val="006C2A47"/>
    <w:rsid w:val="006C553F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A38"/>
    <w:rsid w:val="00724E41"/>
    <w:rsid w:val="00725057"/>
    <w:rsid w:val="0072602F"/>
    <w:rsid w:val="00727847"/>
    <w:rsid w:val="00730AE8"/>
    <w:rsid w:val="00733617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67979"/>
    <w:rsid w:val="00770AC9"/>
    <w:rsid w:val="0077235F"/>
    <w:rsid w:val="00772E82"/>
    <w:rsid w:val="00773688"/>
    <w:rsid w:val="00773A6E"/>
    <w:rsid w:val="00773B70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1A3"/>
    <w:rsid w:val="00785684"/>
    <w:rsid w:val="0078594B"/>
    <w:rsid w:val="00785B98"/>
    <w:rsid w:val="00785E66"/>
    <w:rsid w:val="00790BB3"/>
    <w:rsid w:val="00790D8A"/>
    <w:rsid w:val="00790E17"/>
    <w:rsid w:val="0079128F"/>
    <w:rsid w:val="007915F3"/>
    <w:rsid w:val="007922BA"/>
    <w:rsid w:val="0079243C"/>
    <w:rsid w:val="00792EAC"/>
    <w:rsid w:val="0079353C"/>
    <w:rsid w:val="00794B06"/>
    <w:rsid w:val="0079695D"/>
    <w:rsid w:val="007A0AB6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3D38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16A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08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9E3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2C7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CC8"/>
    <w:rsid w:val="008C2B52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4613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B7C5C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5177"/>
    <w:rsid w:val="00A15C45"/>
    <w:rsid w:val="00A15D25"/>
    <w:rsid w:val="00A15E19"/>
    <w:rsid w:val="00A1637A"/>
    <w:rsid w:val="00A168C7"/>
    <w:rsid w:val="00A216D8"/>
    <w:rsid w:val="00A217A8"/>
    <w:rsid w:val="00A21A95"/>
    <w:rsid w:val="00A22571"/>
    <w:rsid w:val="00A2338E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01A"/>
    <w:rsid w:val="00AA16D4"/>
    <w:rsid w:val="00AA20CD"/>
    <w:rsid w:val="00AA25F5"/>
    <w:rsid w:val="00AA5C51"/>
    <w:rsid w:val="00AA5CB9"/>
    <w:rsid w:val="00AA5D0D"/>
    <w:rsid w:val="00AA766E"/>
    <w:rsid w:val="00AB1121"/>
    <w:rsid w:val="00AB1160"/>
    <w:rsid w:val="00AB1BC3"/>
    <w:rsid w:val="00AB2384"/>
    <w:rsid w:val="00AB4031"/>
    <w:rsid w:val="00AB4D6C"/>
    <w:rsid w:val="00AB6085"/>
    <w:rsid w:val="00AB7B52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66B7"/>
    <w:rsid w:val="00B070DD"/>
    <w:rsid w:val="00B072F0"/>
    <w:rsid w:val="00B1102F"/>
    <w:rsid w:val="00B11296"/>
    <w:rsid w:val="00B12DBB"/>
    <w:rsid w:val="00B13003"/>
    <w:rsid w:val="00B13796"/>
    <w:rsid w:val="00B14FA7"/>
    <w:rsid w:val="00B1763C"/>
    <w:rsid w:val="00B17720"/>
    <w:rsid w:val="00B21472"/>
    <w:rsid w:val="00B21F27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89D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3CC0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90E"/>
    <w:rsid w:val="00BC2EA8"/>
    <w:rsid w:val="00BC33C0"/>
    <w:rsid w:val="00BC48E7"/>
    <w:rsid w:val="00BC4C99"/>
    <w:rsid w:val="00BC51DD"/>
    <w:rsid w:val="00BC5F49"/>
    <w:rsid w:val="00BC7FAF"/>
    <w:rsid w:val="00BC7FE6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5E8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1D2E"/>
    <w:rsid w:val="00C61DB4"/>
    <w:rsid w:val="00C62AC8"/>
    <w:rsid w:val="00C63EBD"/>
    <w:rsid w:val="00C66C74"/>
    <w:rsid w:val="00C70850"/>
    <w:rsid w:val="00C716CA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394C"/>
    <w:rsid w:val="00C84C4E"/>
    <w:rsid w:val="00C84EB4"/>
    <w:rsid w:val="00C859F8"/>
    <w:rsid w:val="00C862BC"/>
    <w:rsid w:val="00C873A6"/>
    <w:rsid w:val="00C875BE"/>
    <w:rsid w:val="00C925B3"/>
    <w:rsid w:val="00C933B7"/>
    <w:rsid w:val="00CA121C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037"/>
    <w:rsid w:val="00CC32E7"/>
    <w:rsid w:val="00CC3BFA"/>
    <w:rsid w:val="00CC4408"/>
    <w:rsid w:val="00CC4E6A"/>
    <w:rsid w:val="00CC6242"/>
    <w:rsid w:val="00CC6976"/>
    <w:rsid w:val="00CC7BA7"/>
    <w:rsid w:val="00CC7F6E"/>
    <w:rsid w:val="00CD0262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341"/>
    <w:rsid w:val="00CE3BA1"/>
    <w:rsid w:val="00CE3CBE"/>
    <w:rsid w:val="00CE4839"/>
    <w:rsid w:val="00CE529B"/>
    <w:rsid w:val="00CE604A"/>
    <w:rsid w:val="00CE664F"/>
    <w:rsid w:val="00CE77A9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056A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ECA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0BA"/>
    <w:rsid w:val="00D602D0"/>
    <w:rsid w:val="00D619C8"/>
    <w:rsid w:val="00D61DB3"/>
    <w:rsid w:val="00D637AC"/>
    <w:rsid w:val="00D63947"/>
    <w:rsid w:val="00D63D16"/>
    <w:rsid w:val="00D64DE3"/>
    <w:rsid w:val="00D65802"/>
    <w:rsid w:val="00D66FE5"/>
    <w:rsid w:val="00D67206"/>
    <w:rsid w:val="00D6734D"/>
    <w:rsid w:val="00D67BD0"/>
    <w:rsid w:val="00D707B1"/>
    <w:rsid w:val="00D70DE1"/>
    <w:rsid w:val="00D7188C"/>
    <w:rsid w:val="00D731EC"/>
    <w:rsid w:val="00D764A6"/>
    <w:rsid w:val="00D7673C"/>
    <w:rsid w:val="00D76F7B"/>
    <w:rsid w:val="00D77277"/>
    <w:rsid w:val="00D80CDE"/>
    <w:rsid w:val="00D822EF"/>
    <w:rsid w:val="00D8267B"/>
    <w:rsid w:val="00D8331D"/>
    <w:rsid w:val="00D83A8C"/>
    <w:rsid w:val="00D840CC"/>
    <w:rsid w:val="00D84224"/>
    <w:rsid w:val="00D844B0"/>
    <w:rsid w:val="00D909F5"/>
    <w:rsid w:val="00D914C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CD8"/>
    <w:rsid w:val="00DA7D44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088A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66C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E0049C"/>
    <w:rsid w:val="00E005C9"/>
    <w:rsid w:val="00E01774"/>
    <w:rsid w:val="00E02282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35355"/>
    <w:rsid w:val="00E40B69"/>
    <w:rsid w:val="00E42100"/>
    <w:rsid w:val="00E44C5A"/>
    <w:rsid w:val="00E45A97"/>
    <w:rsid w:val="00E464BC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412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6FFF"/>
    <w:rsid w:val="00EC7F03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1838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68BE"/>
    <w:rsid w:val="00F47203"/>
    <w:rsid w:val="00F47236"/>
    <w:rsid w:val="00F5418C"/>
    <w:rsid w:val="00F54B1E"/>
    <w:rsid w:val="00F569BC"/>
    <w:rsid w:val="00F62E88"/>
    <w:rsid w:val="00F64FED"/>
    <w:rsid w:val="00F65997"/>
    <w:rsid w:val="00F66545"/>
    <w:rsid w:val="00F666B3"/>
    <w:rsid w:val="00F66BFE"/>
    <w:rsid w:val="00F70A04"/>
    <w:rsid w:val="00F7215E"/>
    <w:rsid w:val="00F770E4"/>
    <w:rsid w:val="00F80504"/>
    <w:rsid w:val="00F8233D"/>
    <w:rsid w:val="00F84D51"/>
    <w:rsid w:val="00F85D4D"/>
    <w:rsid w:val="00F86120"/>
    <w:rsid w:val="00F9102E"/>
    <w:rsid w:val="00F916D5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A57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19B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6A87"/>
    <w:rsid w:val="00FD795A"/>
    <w:rsid w:val="00FE0040"/>
    <w:rsid w:val="00FE143F"/>
    <w:rsid w:val="00FE2199"/>
    <w:rsid w:val="00FE26EF"/>
    <w:rsid w:val="00FE3B0B"/>
    <w:rsid w:val="00FE456A"/>
    <w:rsid w:val="00FE52E6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  <w:rsid w:val="16833FFF"/>
    <w:rsid w:val="22945B24"/>
    <w:rsid w:val="27031211"/>
    <w:rsid w:val="2EDC1D71"/>
    <w:rsid w:val="3C1E32AD"/>
    <w:rsid w:val="3D3D2107"/>
    <w:rsid w:val="3D810976"/>
    <w:rsid w:val="4EF8069D"/>
    <w:rsid w:val="66C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68FF"/>
  <w15:docId w15:val="{B9D4CCFD-3AAE-487C-BAF7-EB2E166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qFormat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Pr>
      <w:color w:val="auto"/>
    </w:r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eastAsia="ヒラギノ角ゴ Pro W3"/>
      <w:color w:val="000000"/>
      <w:sz w:val="26"/>
    </w:rPr>
  </w:style>
  <w:style w:type="character" w:customStyle="1" w:styleId="af6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eastAsia="ヒラギノ角ゴ Pro W3"/>
      <w:color w:val="000000"/>
      <w:sz w:val="26"/>
    </w:rPr>
  </w:style>
  <w:style w:type="paragraph" w:customStyle="1" w:styleId="af7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qFormat/>
    <w:rPr>
      <w:rFonts w:ascii="Times New Roman" w:eastAsia="Times New Roman" w:hAnsi="Times New Roman"/>
      <w:color w:val="000000"/>
      <w:sz w:val="24"/>
    </w:rPr>
  </w:style>
  <w:style w:type="character" w:customStyle="1" w:styleId="af9">
    <w:name w:val="Основной текст_"/>
    <w:link w:val="2"/>
    <w:qFormat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9"/>
    <w:qFormat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customStyle="1" w:styleId="a8">
    <w:name w:val="Текст примечания Знак"/>
    <w:link w:val="a7"/>
    <w:uiPriority w:val="99"/>
    <w:semiHidden/>
    <w:qFormat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qFormat/>
    <w:rPr>
      <w:rFonts w:ascii="Times New Roman" w:eastAsia="Times New Roman" w:hAnsi="Times New Roman"/>
      <w:b/>
      <w:bCs/>
      <w:color w:val="000000"/>
    </w:rPr>
  </w:style>
  <w:style w:type="character" w:customStyle="1" w:styleId="96">
    <w:name w:val="Основной текст96"/>
    <w:qFormat/>
    <w:rPr>
      <w:shd w:val="clear" w:color="auto" w:fill="FFFFFF"/>
    </w:rPr>
  </w:style>
  <w:style w:type="character" w:customStyle="1" w:styleId="97">
    <w:name w:val="Основной текст97"/>
    <w:qFormat/>
    <w:rPr>
      <w:shd w:val="clear" w:color="auto" w:fill="FFFFFF"/>
    </w:rPr>
  </w:style>
  <w:style w:type="character" w:customStyle="1" w:styleId="20">
    <w:name w:val="Основной текст (2) + Полужирный"/>
    <w:qFormat/>
    <w:rPr>
      <w:rFonts w:ascii="Times New Roman" w:eastAsia="Times New Roman" w:hAnsi="Times New Roman" w:cs="Times New Roman"/>
      <w:b/>
      <w:bCs/>
      <w:spacing w:val="0"/>
      <w:sz w:val="22"/>
      <w:szCs w:val="22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2979</Words>
  <Characters>20111</Characters>
  <Application>Microsoft Office Word</Application>
  <DocSecurity>0</DocSecurity>
  <Lines>167</Lines>
  <Paragraphs>46</Paragraphs>
  <ScaleCrop>false</ScaleCrop>
  <Company>User</Company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Zal2 APMO</cp:lastModifiedBy>
  <cp:revision>5</cp:revision>
  <cp:lastPrinted>2026-01-12T09:54:00Z</cp:lastPrinted>
  <dcterms:created xsi:type="dcterms:W3CDTF">2026-01-12T09:54:00Z</dcterms:created>
  <dcterms:modified xsi:type="dcterms:W3CDTF">2026-02-12T08:43:00Z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E744A82242934816A2F70E7024179357_13</vt:lpwstr>
  </property>
</Properties>
</file>